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547" w:type="dxa"/>
        <w:tblInd w:w="-252" w:type="dxa"/>
        <w:tblLook w:val="01E0" w:firstRow="1" w:lastRow="1" w:firstColumn="1" w:lastColumn="1" w:noHBand="0" w:noVBand="0"/>
      </w:tblPr>
      <w:tblGrid>
        <w:gridCol w:w="6030"/>
        <w:gridCol w:w="9517"/>
      </w:tblGrid>
      <w:tr w:rsidR="00AB3E85" w:rsidRPr="008F45FD" w14:paraId="5D4D5A1F" w14:textId="77777777" w:rsidTr="00AB3E85">
        <w:tc>
          <w:tcPr>
            <w:tcW w:w="6030" w:type="dxa"/>
          </w:tcPr>
          <w:p w14:paraId="5BACA1D2" w14:textId="77777777" w:rsidR="00AB3E85" w:rsidRPr="008F45FD" w:rsidRDefault="00AB3E85" w:rsidP="00C30BFA">
            <w:pPr>
              <w:tabs>
                <w:tab w:val="left" w:pos="0"/>
              </w:tabs>
              <w:jc w:val="center"/>
              <w:rPr>
                <w:sz w:val="26"/>
                <w:szCs w:val="26"/>
              </w:rPr>
            </w:pPr>
            <w:r>
              <w:rPr>
                <w:sz w:val="26"/>
                <w:szCs w:val="26"/>
              </w:rPr>
              <w:t>BỘ THÔNG TIN VÀ TRUYỀN THÔNG</w:t>
            </w:r>
          </w:p>
          <w:p w14:paraId="1F6AC0DD" w14:textId="0123631C" w:rsidR="00AB3E85" w:rsidRPr="008F45FD" w:rsidRDefault="00AB3E85" w:rsidP="00C30BFA">
            <w:pPr>
              <w:tabs>
                <w:tab w:val="left" w:pos="0"/>
              </w:tabs>
              <w:jc w:val="center"/>
              <w:rPr>
                <w:szCs w:val="28"/>
              </w:rPr>
            </w:pPr>
            <w:r w:rsidRPr="008F45FD">
              <w:rPr>
                <w:noProof/>
                <w:szCs w:val="28"/>
                <w:lang w:val="en-US"/>
              </w:rPr>
              <mc:AlternateContent>
                <mc:Choice Requires="wps">
                  <w:drawing>
                    <wp:anchor distT="0" distB="0" distL="114300" distR="114300" simplePos="0" relativeHeight="251655680" behindDoc="0" locked="0" layoutInCell="1" allowOverlap="1" wp14:anchorId="1B11851B" wp14:editId="136DD06F">
                      <wp:simplePos x="0" y="0"/>
                      <wp:positionH relativeFrom="column">
                        <wp:posOffset>1017830</wp:posOffset>
                      </wp:positionH>
                      <wp:positionV relativeFrom="paragraph">
                        <wp:posOffset>33655</wp:posOffset>
                      </wp:positionV>
                      <wp:extent cx="1737360" cy="0"/>
                      <wp:effectExtent l="0" t="0" r="342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03F2C" id="Straight Connector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5pt,2.65pt" to="216.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"/>
                  </w:pict>
                </mc:Fallback>
              </mc:AlternateContent>
            </w:r>
          </w:p>
          <w:p w14:paraId="5D759D4C" w14:textId="459DE617" w:rsidR="00AB3E85" w:rsidRPr="00B14C81" w:rsidRDefault="00AB3E85" w:rsidP="00C30BFA">
            <w:pPr>
              <w:tabs>
                <w:tab w:val="left" w:pos="0"/>
              </w:tabs>
              <w:jc w:val="center"/>
              <w:rPr>
                <w:sz w:val="26"/>
                <w:szCs w:val="26"/>
              </w:rPr>
            </w:pPr>
          </w:p>
        </w:tc>
        <w:tc>
          <w:tcPr>
            <w:tcW w:w="9517" w:type="dxa"/>
          </w:tcPr>
          <w:p w14:paraId="04206399" w14:textId="2ECA0D63" w:rsidR="00AB3E85" w:rsidRPr="008F45FD" w:rsidRDefault="00A91983" w:rsidP="00AB3E85">
            <w:pPr>
              <w:tabs>
                <w:tab w:val="left" w:pos="0"/>
              </w:tabs>
              <w:ind w:left="-198"/>
              <w:jc w:val="center"/>
              <w:rPr>
                <w:rFonts w:ascii="Times New Roman Bold" w:hAnsi="Times New Roman Bold"/>
                <w:b/>
                <w:spacing w:val="-8"/>
                <w:w w:val="93"/>
                <w:sz w:val="26"/>
                <w:szCs w:val="26"/>
              </w:rPr>
            </w:pPr>
            <w:r>
              <w:rPr>
                <w:rFonts w:ascii="Times New Roman Bold" w:hAnsi="Times New Roman Bold"/>
                <w:b/>
                <w:spacing w:val="-8"/>
                <w:w w:val="93"/>
                <w:sz w:val="26"/>
                <w:szCs w:val="26"/>
                <w:lang w:val="en-US"/>
              </w:rPr>
              <w:t xml:space="preserve"> </w:t>
            </w:r>
            <w:r w:rsidR="00AB3E85" w:rsidRPr="008F45FD">
              <w:rPr>
                <w:rFonts w:ascii="Times New Roman Bold" w:hAnsi="Times New Roman Bold"/>
                <w:b/>
                <w:spacing w:val="-8"/>
                <w:w w:val="93"/>
                <w:sz w:val="26"/>
                <w:szCs w:val="26"/>
              </w:rPr>
              <w:t>CỘNG HÒA XÃ HỘI CHỦ NGHĨA VIỆT NAM</w:t>
            </w:r>
          </w:p>
          <w:p w14:paraId="6999A924" w14:textId="2F2F82E6" w:rsidR="00AB3E85" w:rsidRPr="008F45FD" w:rsidRDefault="00AB3E85" w:rsidP="00AB3E85">
            <w:pPr>
              <w:tabs>
                <w:tab w:val="left" w:pos="0"/>
              </w:tabs>
              <w:ind w:left="-198"/>
              <w:jc w:val="center"/>
              <w:rPr>
                <w:rFonts w:ascii="Times New Roman Bold" w:hAnsi="Times New Roman Bold"/>
                <w:b/>
                <w:szCs w:val="28"/>
              </w:rPr>
            </w:pPr>
            <w:r w:rsidRPr="008F45FD">
              <w:rPr>
                <w:rFonts w:ascii="Times New Roman Bold" w:hAnsi="Times New Roman Bold"/>
                <w:b/>
                <w:szCs w:val="28"/>
              </w:rPr>
              <w:t>Độc lập – Tự do – Hạnh phúc</w:t>
            </w:r>
          </w:p>
          <w:p w14:paraId="46FAABA2" w14:textId="7D660548" w:rsidR="00AB3E85" w:rsidRPr="008F45FD" w:rsidRDefault="00AB3E85" w:rsidP="00AB3E85">
            <w:pPr>
              <w:tabs>
                <w:tab w:val="left" w:pos="0"/>
              </w:tabs>
              <w:spacing w:before="240"/>
              <w:jc w:val="center"/>
              <w:rPr>
                <w:b/>
                <w:szCs w:val="28"/>
              </w:rPr>
            </w:pPr>
            <w:r w:rsidRPr="008F45FD">
              <w:rPr>
                <w:noProof/>
                <w:szCs w:val="28"/>
                <w:lang w:val="en-US"/>
              </w:rPr>
              <mc:AlternateContent>
                <mc:Choice Requires="wps">
                  <w:drawing>
                    <wp:anchor distT="0" distB="0" distL="114300" distR="114300" simplePos="0" relativeHeight="251660800" behindDoc="0" locked="0" layoutInCell="1" allowOverlap="1" wp14:anchorId="0A2C2C50" wp14:editId="758564A0">
                      <wp:simplePos x="0" y="0"/>
                      <wp:positionH relativeFrom="column">
                        <wp:posOffset>1823010</wp:posOffset>
                      </wp:positionH>
                      <wp:positionV relativeFrom="paragraph">
                        <wp:posOffset>27305</wp:posOffset>
                      </wp:positionV>
                      <wp:extent cx="22002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61206" id="Straight Connector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5pt,2.15pt" to="316.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"/>
                  </w:pict>
                </mc:Fallback>
              </mc:AlternateContent>
            </w:r>
            <w:r>
              <w:rPr>
                <w:i/>
                <w:szCs w:val="28"/>
                <w:lang w:val="en-US"/>
              </w:rPr>
              <w:t xml:space="preserve"> </w:t>
            </w:r>
            <w:r w:rsidRPr="008F45FD">
              <w:rPr>
                <w:i/>
                <w:szCs w:val="28"/>
              </w:rPr>
              <w:t xml:space="preserve">Hà Nội, ngày    </w:t>
            </w:r>
            <w:r>
              <w:rPr>
                <w:i/>
                <w:szCs w:val="28"/>
              </w:rPr>
              <w:t xml:space="preserve"> </w:t>
            </w:r>
            <w:r w:rsidRPr="008F45FD">
              <w:rPr>
                <w:i/>
                <w:szCs w:val="28"/>
              </w:rPr>
              <w:t xml:space="preserve">  </w:t>
            </w:r>
            <w:r>
              <w:rPr>
                <w:i/>
                <w:szCs w:val="28"/>
              </w:rPr>
              <w:t xml:space="preserve"> tháng      </w:t>
            </w:r>
            <w:r w:rsidRPr="008F45FD">
              <w:rPr>
                <w:i/>
                <w:szCs w:val="28"/>
              </w:rPr>
              <w:t>năm 20</w:t>
            </w:r>
            <w:r>
              <w:rPr>
                <w:i/>
                <w:szCs w:val="28"/>
              </w:rPr>
              <w:t>20</w:t>
            </w:r>
          </w:p>
          <w:p w14:paraId="199752BA" w14:textId="77777777" w:rsidR="00AB3E85" w:rsidRPr="008F45FD" w:rsidRDefault="00AB3E85" w:rsidP="00C30BFA">
            <w:pPr>
              <w:tabs>
                <w:tab w:val="left" w:pos="0"/>
              </w:tabs>
              <w:ind w:right="-54"/>
              <w:jc w:val="center"/>
              <w:rPr>
                <w:w w:val="95"/>
                <w:szCs w:val="28"/>
              </w:rPr>
            </w:pPr>
          </w:p>
        </w:tc>
      </w:tr>
    </w:tbl>
    <w:p w14:paraId="5E06CFEC" w14:textId="705D305D" w:rsidR="004D5186" w:rsidRPr="0027530E" w:rsidRDefault="00512C44" w:rsidP="00105DB5">
      <w:pPr>
        <w:jc w:val="center"/>
        <w:rPr>
          <w:b/>
          <w:lang w:val="en-US"/>
        </w:rPr>
      </w:pPr>
      <w:r>
        <w:rPr>
          <w:b/>
          <w:lang w:val="en-US"/>
        </w:rPr>
        <w:t xml:space="preserve">BẢNG </w:t>
      </w:r>
      <w:r w:rsidR="008143C2">
        <w:rPr>
          <w:b/>
          <w:lang w:val="en-US"/>
        </w:rPr>
        <w:t xml:space="preserve">TỔNG HỢP </w:t>
      </w:r>
      <w:r w:rsidR="00105DB5" w:rsidRPr="00105DB5">
        <w:rPr>
          <w:b/>
          <w:lang w:val="en-US"/>
        </w:rPr>
        <w:t>GIẢI TRÌNH Ý KIẾ</w:t>
      </w:r>
      <w:r w:rsidR="003C12C8">
        <w:rPr>
          <w:b/>
          <w:lang w:val="en-US"/>
        </w:rPr>
        <w:t>N GÓP Ý</w:t>
      </w:r>
      <w:r w:rsidR="008143C2">
        <w:rPr>
          <w:b/>
          <w:lang w:val="vi-VN"/>
        </w:rPr>
        <w:t xml:space="preserve"> </w:t>
      </w:r>
      <w:r w:rsidR="0027530E">
        <w:rPr>
          <w:b/>
          <w:lang w:val="en-US"/>
        </w:rPr>
        <w:t>DỰ THẢO QUYẾT ĐỊNH CỦA TTCP VỀ ĐẤU GIÁ, CHUYỂN NHƯỢNG QUYỀN SỬ DỤNG KHO SỐ VIỄN THÔNG, TÊN MIỀN INTERNET</w:t>
      </w:r>
    </w:p>
    <w:p w14:paraId="1197BA53" w14:textId="77777777" w:rsidR="00E36118" w:rsidRPr="000749A0" w:rsidRDefault="00E36118">
      <w:pPr>
        <w:rPr>
          <w:b/>
          <w:lang w:val="en-US"/>
        </w:rPr>
      </w:pPr>
    </w:p>
    <w:tbl>
      <w:tblPr>
        <w:tblStyle w:val="TableGrid"/>
        <w:tblW w:w="15823" w:type="dxa"/>
        <w:tblInd w:w="-815" w:type="dxa"/>
        <w:tblLook w:val="04A0" w:firstRow="1" w:lastRow="0" w:firstColumn="1" w:lastColumn="0" w:noHBand="0" w:noVBand="1"/>
      </w:tblPr>
      <w:tblGrid>
        <w:gridCol w:w="671"/>
        <w:gridCol w:w="1399"/>
        <w:gridCol w:w="1530"/>
        <w:gridCol w:w="6300"/>
        <w:gridCol w:w="5923"/>
      </w:tblGrid>
      <w:tr w:rsidR="00100153" w:rsidRPr="00830B5B" w14:paraId="2C4B0D5F" w14:textId="77777777" w:rsidTr="00830B5B">
        <w:trPr>
          <w:trHeight w:val="611"/>
          <w:tblHeader/>
        </w:trPr>
        <w:tc>
          <w:tcPr>
            <w:tcW w:w="671" w:type="dxa"/>
            <w:vAlign w:val="center"/>
          </w:tcPr>
          <w:p w14:paraId="04D3BF39" w14:textId="77777777" w:rsidR="00100153" w:rsidRPr="00830B5B" w:rsidRDefault="00100153" w:rsidP="00100153">
            <w:pPr>
              <w:jc w:val="center"/>
              <w:rPr>
                <w:rFonts w:cs="Times New Roman"/>
                <w:b/>
                <w:sz w:val="24"/>
                <w:lang w:val="en-US"/>
              </w:rPr>
            </w:pPr>
            <w:r w:rsidRPr="00830B5B">
              <w:rPr>
                <w:rFonts w:cs="Times New Roman"/>
                <w:b/>
                <w:sz w:val="24"/>
                <w:lang w:val="en-US"/>
              </w:rPr>
              <w:t>STT</w:t>
            </w:r>
          </w:p>
        </w:tc>
        <w:tc>
          <w:tcPr>
            <w:tcW w:w="1399" w:type="dxa"/>
          </w:tcPr>
          <w:p w14:paraId="246B6A80" w14:textId="77777777" w:rsidR="00960439" w:rsidRPr="00830B5B" w:rsidRDefault="00960439" w:rsidP="00100153">
            <w:pPr>
              <w:jc w:val="center"/>
              <w:rPr>
                <w:rFonts w:eastAsia="Arial" w:cs="Times New Roman"/>
                <w:b/>
                <w:bCs/>
                <w:sz w:val="24"/>
                <w:lang w:val="en-US"/>
              </w:rPr>
            </w:pPr>
          </w:p>
          <w:p w14:paraId="3449CB8D" w14:textId="27AD564B" w:rsidR="00100153" w:rsidRPr="00830B5B" w:rsidRDefault="00100153" w:rsidP="00100153">
            <w:pPr>
              <w:jc w:val="center"/>
              <w:rPr>
                <w:rFonts w:eastAsia="Arial" w:cs="Times New Roman"/>
                <w:b/>
                <w:bCs/>
                <w:sz w:val="24"/>
                <w:lang w:val="en-US"/>
              </w:rPr>
            </w:pPr>
            <w:r w:rsidRPr="00830B5B">
              <w:rPr>
                <w:rFonts w:eastAsia="Arial" w:cs="Times New Roman"/>
                <w:b/>
                <w:bCs/>
                <w:sz w:val="24"/>
                <w:lang w:val="en-US"/>
              </w:rPr>
              <w:t>Vấn đề góp ý</w:t>
            </w:r>
          </w:p>
        </w:tc>
        <w:tc>
          <w:tcPr>
            <w:tcW w:w="1530" w:type="dxa"/>
            <w:vAlign w:val="center"/>
          </w:tcPr>
          <w:p w14:paraId="25641DA6" w14:textId="0BCD121A" w:rsidR="00100153" w:rsidRPr="00830B5B" w:rsidRDefault="00100153" w:rsidP="00100153">
            <w:pPr>
              <w:jc w:val="center"/>
              <w:rPr>
                <w:rFonts w:eastAsia="Arial" w:cs="Times New Roman"/>
                <w:b/>
                <w:bCs/>
                <w:sz w:val="24"/>
              </w:rPr>
            </w:pPr>
            <w:r w:rsidRPr="00830B5B">
              <w:rPr>
                <w:rFonts w:cs="Times New Roman"/>
                <w:b/>
                <w:sz w:val="24"/>
                <w:lang w:val="en-US"/>
              </w:rPr>
              <w:t>Đơn vị góp ý</w:t>
            </w:r>
          </w:p>
        </w:tc>
        <w:tc>
          <w:tcPr>
            <w:tcW w:w="6300" w:type="dxa"/>
          </w:tcPr>
          <w:p w14:paraId="47E18757" w14:textId="77777777" w:rsidR="00960439" w:rsidRPr="00830B5B" w:rsidRDefault="00960439" w:rsidP="00100153">
            <w:pPr>
              <w:jc w:val="center"/>
              <w:rPr>
                <w:rFonts w:eastAsia="Arial" w:cs="Times New Roman"/>
                <w:b/>
                <w:bCs/>
                <w:sz w:val="24"/>
              </w:rPr>
            </w:pPr>
          </w:p>
          <w:p w14:paraId="3879F74A" w14:textId="02FA4AF4" w:rsidR="00100153" w:rsidRPr="00830B5B" w:rsidRDefault="00100153" w:rsidP="00100153">
            <w:pPr>
              <w:jc w:val="center"/>
              <w:rPr>
                <w:rFonts w:cs="Times New Roman"/>
                <w:b/>
                <w:sz w:val="24"/>
                <w:lang w:val="en-US"/>
              </w:rPr>
            </w:pPr>
            <w:r w:rsidRPr="00830B5B">
              <w:rPr>
                <w:rFonts w:eastAsia="Arial" w:cs="Times New Roman"/>
                <w:b/>
                <w:bCs/>
                <w:sz w:val="24"/>
              </w:rPr>
              <w:t xml:space="preserve">Nội dung </w:t>
            </w:r>
            <w:r w:rsidRPr="00830B5B">
              <w:rPr>
                <w:rFonts w:eastAsia="Arial" w:cs="Times New Roman"/>
                <w:b/>
                <w:bCs/>
                <w:sz w:val="24"/>
                <w:lang w:val="en-US"/>
              </w:rPr>
              <w:t>góp ý</w:t>
            </w:r>
          </w:p>
        </w:tc>
        <w:tc>
          <w:tcPr>
            <w:tcW w:w="5923" w:type="dxa"/>
          </w:tcPr>
          <w:p w14:paraId="32120274" w14:textId="77777777" w:rsidR="00960439" w:rsidRPr="00830B5B" w:rsidRDefault="00960439" w:rsidP="00100153">
            <w:pPr>
              <w:jc w:val="center"/>
              <w:rPr>
                <w:rFonts w:cs="Times New Roman"/>
                <w:b/>
                <w:sz w:val="24"/>
                <w:lang w:val="en-US"/>
              </w:rPr>
            </w:pPr>
          </w:p>
          <w:p w14:paraId="3A10A9B3" w14:textId="77777777" w:rsidR="00100153" w:rsidRPr="00830B5B" w:rsidRDefault="00100153" w:rsidP="00100153">
            <w:pPr>
              <w:jc w:val="center"/>
              <w:rPr>
                <w:rFonts w:cs="Times New Roman"/>
                <w:b/>
                <w:sz w:val="24"/>
                <w:lang w:val="en-US"/>
              </w:rPr>
            </w:pPr>
            <w:r w:rsidRPr="00830B5B">
              <w:rPr>
                <w:rFonts w:cs="Times New Roman"/>
                <w:b/>
                <w:sz w:val="24"/>
                <w:lang w:val="en-US"/>
              </w:rPr>
              <w:t>Ý kiến giải trình của Bộ TT&amp;TT</w:t>
            </w:r>
          </w:p>
        </w:tc>
      </w:tr>
      <w:tr w:rsidR="00100153" w:rsidRPr="00830B5B" w14:paraId="55251DCF" w14:textId="77777777" w:rsidTr="00830B5B">
        <w:tc>
          <w:tcPr>
            <w:tcW w:w="671" w:type="dxa"/>
            <w:vAlign w:val="center"/>
          </w:tcPr>
          <w:p w14:paraId="564CCB14" w14:textId="10E3FA42" w:rsidR="00100153" w:rsidRPr="00830B5B" w:rsidRDefault="00100153" w:rsidP="00830428">
            <w:pPr>
              <w:jc w:val="center"/>
              <w:rPr>
                <w:rFonts w:cs="Times New Roman"/>
                <w:b/>
                <w:sz w:val="24"/>
                <w:lang w:val="en-US"/>
              </w:rPr>
            </w:pPr>
            <w:r w:rsidRPr="00830B5B">
              <w:rPr>
                <w:rFonts w:cs="Times New Roman"/>
                <w:b/>
                <w:sz w:val="24"/>
                <w:lang w:val="en-US"/>
              </w:rPr>
              <w:t>1</w:t>
            </w:r>
          </w:p>
        </w:tc>
        <w:tc>
          <w:tcPr>
            <w:tcW w:w="1399" w:type="dxa"/>
          </w:tcPr>
          <w:p w14:paraId="3D151C1B" w14:textId="77777777" w:rsidR="00532C02" w:rsidRPr="00830B5B" w:rsidRDefault="00532C02" w:rsidP="00297B8A">
            <w:pPr>
              <w:jc w:val="left"/>
              <w:rPr>
                <w:rFonts w:cs="Times New Roman"/>
                <w:color w:val="000000"/>
                <w:sz w:val="24"/>
                <w:lang w:val="en-US"/>
              </w:rPr>
            </w:pPr>
          </w:p>
          <w:p w14:paraId="6DE4098E" w14:textId="77777777" w:rsidR="00532C02" w:rsidRPr="00830B5B" w:rsidRDefault="00532C02" w:rsidP="00297B8A">
            <w:pPr>
              <w:jc w:val="left"/>
              <w:rPr>
                <w:rFonts w:cs="Times New Roman"/>
                <w:color w:val="000000"/>
                <w:sz w:val="24"/>
                <w:lang w:val="en-US"/>
              </w:rPr>
            </w:pPr>
          </w:p>
          <w:p w14:paraId="604F6CF1" w14:textId="77777777" w:rsidR="00532C02" w:rsidRPr="00830B5B" w:rsidRDefault="00532C02" w:rsidP="00297B8A">
            <w:pPr>
              <w:jc w:val="left"/>
              <w:rPr>
                <w:rFonts w:cs="Times New Roman"/>
                <w:color w:val="000000"/>
                <w:sz w:val="24"/>
                <w:lang w:val="en-US"/>
              </w:rPr>
            </w:pPr>
          </w:p>
          <w:p w14:paraId="273EF219" w14:textId="77777777" w:rsidR="00A74348" w:rsidRPr="00830B5B" w:rsidRDefault="00A74348" w:rsidP="00297B8A">
            <w:pPr>
              <w:jc w:val="left"/>
              <w:rPr>
                <w:rFonts w:cs="Times New Roman"/>
                <w:color w:val="000000"/>
                <w:sz w:val="24"/>
                <w:lang w:val="en-US"/>
              </w:rPr>
            </w:pPr>
          </w:p>
          <w:p w14:paraId="7C06512F" w14:textId="6A73A2B9" w:rsidR="00100153" w:rsidRPr="00830B5B" w:rsidRDefault="00100153" w:rsidP="00297B8A">
            <w:pPr>
              <w:jc w:val="left"/>
              <w:rPr>
                <w:rFonts w:cs="Times New Roman"/>
                <w:color w:val="000000"/>
                <w:sz w:val="24"/>
                <w:lang w:val="en-US"/>
              </w:rPr>
            </w:pPr>
            <w:r w:rsidRPr="00830B5B">
              <w:rPr>
                <w:rFonts w:cs="Times New Roman"/>
                <w:color w:val="000000"/>
                <w:sz w:val="24"/>
                <w:lang w:val="en-US"/>
              </w:rPr>
              <w:t>Về hình thức niêm yết giá</w:t>
            </w:r>
          </w:p>
        </w:tc>
        <w:tc>
          <w:tcPr>
            <w:tcW w:w="1530" w:type="dxa"/>
            <w:vAlign w:val="center"/>
          </w:tcPr>
          <w:p w14:paraId="75D49D3C" w14:textId="553C32BB" w:rsidR="00100153" w:rsidRPr="00830B5B" w:rsidRDefault="00100153" w:rsidP="00100153">
            <w:pPr>
              <w:rPr>
                <w:rFonts w:cs="Times New Roman"/>
                <w:color w:val="000000"/>
                <w:sz w:val="24"/>
              </w:rPr>
            </w:pPr>
            <w:r w:rsidRPr="00830B5B">
              <w:rPr>
                <w:rFonts w:cs="Times New Roman"/>
                <w:b/>
                <w:sz w:val="24"/>
                <w:lang w:val="en-US"/>
              </w:rPr>
              <w:t>Bộ Tư pháp</w:t>
            </w:r>
          </w:p>
        </w:tc>
        <w:tc>
          <w:tcPr>
            <w:tcW w:w="6300" w:type="dxa"/>
          </w:tcPr>
          <w:p w14:paraId="208BFDEA" w14:textId="77777777" w:rsidR="009819A9" w:rsidRPr="00830B5B" w:rsidRDefault="009819A9" w:rsidP="00100153">
            <w:pPr>
              <w:rPr>
                <w:rFonts w:cs="Times New Roman"/>
                <w:color w:val="000000"/>
                <w:sz w:val="24"/>
              </w:rPr>
            </w:pPr>
          </w:p>
          <w:p w14:paraId="35B138C5" w14:textId="69481684" w:rsidR="00100153" w:rsidRPr="00830B5B" w:rsidRDefault="00100153" w:rsidP="00100153">
            <w:pPr>
              <w:rPr>
                <w:rFonts w:cs="Times New Roman"/>
                <w:b/>
                <w:sz w:val="24"/>
                <w:lang w:val="en-US"/>
              </w:rPr>
            </w:pPr>
            <w:r w:rsidRPr="00830B5B">
              <w:rPr>
                <w:rFonts w:cs="Times New Roman"/>
                <w:color w:val="000000"/>
                <w:sz w:val="24"/>
              </w:rPr>
              <w:t>Khoản 2 Điều 107 Nghị định số 151/2017/NĐ-CP</w:t>
            </w:r>
            <w:r w:rsidRPr="00830B5B">
              <w:rPr>
                <w:rFonts w:cs="Times New Roman"/>
                <w:color w:val="000000"/>
                <w:sz w:val="24"/>
                <w:lang w:val="en-US"/>
              </w:rPr>
              <w:t xml:space="preserve"> có quy định hình thức niêm yết giá mà</w:t>
            </w:r>
            <w:r w:rsidRPr="00830B5B">
              <w:rPr>
                <w:rFonts w:cs="Times New Roman"/>
                <w:color w:val="000000"/>
                <w:sz w:val="24"/>
              </w:rPr>
              <w:t xml:space="preserve"> phạm vi điều chỉnh của dự thảo Quyết định chưa quy định về niêm yết giá</w:t>
            </w:r>
            <w:r w:rsidRPr="00830B5B">
              <w:rPr>
                <w:rFonts w:cs="Times New Roman"/>
                <w:color w:val="000000"/>
                <w:sz w:val="24"/>
                <w:lang w:val="en-US"/>
              </w:rPr>
              <w:t xml:space="preserve">, </w:t>
            </w:r>
            <w:r w:rsidRPr="00830B5B">
              <w:rPr>
                <w:rFonts w:cs="Times New Roman"/>
                <w:color w:val="000000"/>
                <w:sz w:val="24"/>
              </w:rPr>
              <w:t>đề nghị nghiên cứu, rà soát lại phạm vi điều chỉnh dự thảo Quyết định để quy định cho phù hợp</w:t>
            </w:r>
            <w:r w:rsidR="00D67BA2" w:rsidRPr="00830B5B">
              <w:rPr>
                <w:rFonts w:cs="Times New Roman"/>
                <w:color w:val="000000"/>
                <w:sz w:val="24"/>
                <w:lang w:val="en-US"/>
              </w:rPr>
              <w:t>.</w:t>
            </w:r>
          </w:p>
        </w:tc>
        <w:tc>
          <w:tcPr>
            <w:tcW w:w="5923" w:type="dxa"/>
          </w:tcPr>
          <w:p w14:paraId="6ADBBCCC" w14:textId="77777777" w:rsidR="00100153" w:rsidRPr="00830B5B" w:rsidRDefault="00100153" w:rsidP="00100153">
            <w:pPr>
              <w:rPr>
                <w:rFonts w:cs="Times New Roman"/>
                <w:sz w:val="24"/>
                <w:lang w:val="en-US"/>
              </w:rPr>
            </w:pPr>
            <w:r w:rsidRPr="00830B5B">
              <w:rPr>
                <w:rFonts w:cs="Times New Roman"/>
                <w:b/>
                <w:sz w:val="24"/>
                <w:lang w:val="en-US"/>
              </w:rPr>
              <w:t>Bảo lưu</w:t>
            </w:r>
          </w:p>
          <w:p w14:paraId="719DC4F5" w14:textId="77777777" w:rsidR="00100153" w:rsidRPr="00830B5B" w:rsidRDefault="00100153" w:rsidP="00100153">
            <w:pPr>
              <w:rPr>
                <w:rFonts w:cs="Times New Roman"/>
                <w:sz w:val="24"/>
                <w:lang w:val="en-US"/>
              </w:rPr>
            </w:pPr>
            <w:r w:rsidRPr="00830B5B">
              <w:rPr>
                <w:rFonts w:cs="Times New Roman"/>
                <w:sz w:val="24"/>
                <w:lang w:val="en-US"/>
              </w:rPr>
              <w:t xml:space="preserve">Điểm a, khoản 2 điều 48 </w:t>
            </w:r>
            <w:r w:rsidRPr="00830B5B">
              <w:rPr>
                <w:rFonts w:cs="Times New Roman"/>
                <w:sz w:val="24"/>
              </w:rPr>
              <w:t>Luật viễn thông</w:t>
            </w:r>
            <w:r w:rsidRPr="00830B5B">
              <w:rPr>
                <w:rFonts w:cs="Times New Roman"/>
                <w:sz w:val="24"/>
                <w:lang w:val="en-US"/>
              </w:rPr>
              <w:t xml:space="preserve"> chỉ quy định phương thức phân bổ </w:t>
            </w:r>
            <w:r w:rsidRPr="00830B5B">
              <w:rPr>
                <w:rFonts w:cs="Times New Roman"/>
                <w:sz w:val="24"/>
              </w:rPr>
              <w:t xml:space="preserve">kho số viễn thông qua </w:t>
            </w:r>
            <w:r w:rsidRPr="00830B5B">
              <w:rPr>
                <w:rFonts w:cs="Times New Roman"/>
                <w:sz w:val="24"/>
                <w:lang w:val="en-US"/>
              </w:rPr>
              <w:t>đấu giá mà không có phương thức n</w:t>
            </w:r>
            <w:r w:rsidRPr="00830B5B">
              <w:rPr>
                <w:rFonts w:cs="Times New Roman"/>
                <w:sz w:val="24"/>
              </w:rPr>
              <w:t>iêm yết giá</w:t>
            </w:r>
            <w:r w:rsidRPr="00830B5B">
              <w:rPr>
                <w:rFonts w:cs="Times New Roman"/>
                <w:sz w:val="24"/>
                <w:lang w:val="en-US"/>
              </w:rPr>
              <w:t xml:space="preserve">. Vì vậy, không quy định phương thức niêm yết giá tại dự thảo Quyết định. </w:t>
            </w:r>
          </w:p>
          <w:p w14:paraId="0AE6D925" w14:textId="096B168D" w:rsidR="00100153" w:rsidRPr="00830B5B" w:rsidRDefault="00100153" w:rsidP="00100153">
            <w:pPr>
              <w:rPr>
                <w:rFonts w:cs="Times New Roman"/>
                <w:sz w:val="24"/>
                <w:lang w:val="en-US"/>
              </w:rPr>
            </w:pPr>
            <w:r w:rsidRPr="00830B5B">
              <w:rPr>
                <w:rFonts w:cs="Times New Roman"/>
                <w:sz w:val="24"/>
                <w:lang w:val="en-US"/>
              </w:rPr>
              <w:t>Mặt khác chưa có VBQPPL quy định, hướng dẫn cụ thể đối với trường hợp niêm yết giá khi tài sản không phải là tài sản hữu hình như trường hợp tài nguyên viễn thông (kho số viễn thông, tên miền Internet)</w:t>
            </w:r>
          </w:p>
        </w:tc>
      </w:tr>
      <w:tr w:rsidR="00E336A6" w:rsidRPr="00830B5B" w14:paraId="0D527C91" w14:textId="77777777" w:rsidTr="00830B5B">
        <w:tc>
          <w:tcPr>
            <w:tcW w:w="671" w:type="dxa"/>
            <w:vMerge w:val="restart"/>
            <w:vAlign w:val="center"/>
          </w:tcPr>
          <w:p w14:paraId="0BF55EFA" w14:textId="644304D6" w:rsidR="00E336A6" w:rsidRPr="00830B5B" w:rsidRDefault="00E336A6" w:rsidP="00830428">
            <w:pPr>
              <w:jc w:val="center"/>
              <w:rPr>
                <w:rFonts w:cs="Times New Roman"/>
                <w:b/>
                <w:sz w:val="24"/>
                <w:lang w:val="en-US"/>
              </w:rPr>
            </w:pPr>
            <w:r w:rsidRPr="00830B5B">
              <w:rPr>
                <w:rFonts w:cs="Times New Roman"/>
                <w:b/>
                <w:sz w:val="24"/>
                <w:lang w:val="en-US"/>
              </w:rPr>
              <w:t>2</w:t>
            </w:r>
          </w:p>
        </w:tc>
        <w:tc>
          <w:tcPr>
            <w:tcW w:w="1399" w:type="dxa"/>
            <w:vMerge w:val="restart"/>
          </w:tcPr>
          <w:p w14:paraId="2713A609" w14:textId="77777777" w:rsidR="00F67455" w:rsidRPr="00830B5B" w:rsidRDefault="00F67455" w:rsidP="00297B8A">
            <w:pPr>
              <w:jc w:val="left"/>
              <w:rPr>
                <w:rFonts w:cs="Times New Roman"/>
                <w:color w:val="000000"/>
                <w:sz w:val="24"/>
                <w:lang w:val="en-US"/>
              </w:rPr>
            </w:pPr>
          </w:p>
          <w:p w14:paraId="37D56024" w14:textId="77777777" w:rsidR="00F67455" w:rsidRPr="00830B5B" w:rsidRDefault="00F67455" w:rsidP="00297B8A">
            <w:pPr>
              <w:jc w:val="left"/>
              <w:rPr>
                <w:rFonts w:cs="Times New Roman"/>
                <w:color w:val="000000"/>
                <w:sz w:val="24"/>
                <w:lang w:val="en-US"/>
              </w:rPr>
            </w:pPr>
          </w:p>
          <w:p w14:paraId="0FD619C0" w14:textId="77777777" w:rsidR="00F67455" w:rsidRPr="00830B5B" w:rsidRDefault="00F67455" w:rsidP="00297B8A">
            <w:pPr>
              <w:jc w:val="left"/>
              <w:rPr>
                <w:rFonts w:cs="Times New Roman"/>
                <w:color w:val="000000"/>
                <w:sz w:val="24"/>
                <w:lang w:val="en-US"/>
              </w:rPr>
            </w:pPr>
          </w:p>
          <w:p w14:paraId="23A697F8" w14:textId="77777777" w:rsidR="00F67455" w:rsidRPr="00830B5B" w:rsidRDefault="00F67455" w:rsidP="00297B8A">
            <w:pPr>
              <w:jc w:val="left"/>
              <w:rPr>
                <w:rFonts w:cs="Times New Roman"/>
                <w:color w:val="000000"/>
                <w:sz w:val="24"/>
                <w:lang w:val="en-US"/>
              </w:rPr>
            </w:pPr>
          </w:p>
          <w:p w14:paraId="4920C7EE" w14:textId="77777777" w:rsidR="00F67455" w:rsidRPr="00830B5B" w:rsidRDefault="00F67455" w:rsidP="00297B8A">
            <w:pPr>
              <w:jc w:val="left"/>
              <w:rPr>
                <w:rFonts w:cs="Times New Roman"/>
                <w:color w:val="000000"/>
                <w:sz w:val="24"/>
                <w:lang w:val="en-US"/>
              </w:rPr>
            </w:pPr>
          </w:p>
          <w:p w14:paraId="34DA797B" w14:textId="77777777" w:rsidR="00A74348" w:rsidRPr="00830B5B" w:rsidRDefault="00A74348" w:rsidP="00297B8A">
            <w:pPr>
              <w:jc w:val="left"/>
              <w:rPr>
                <w:rFonts w:cs="Times New Roman"/>
                <w:color w:val="000000"/>
                <w:sz w:val="24"/>
                <w:lang w:val="en-US"/>
              </w:rPr>
            </w:pPr>
          </w:p>
          <w:p w14:paraId="64932FA9" w14:textId="7310D0FC" w:rsidR="00E336A6" w:rsidRPr="00830B5B" w:rsidRDefault="00E336A6" w:rsidP="00297B8A">
            <w:pPr>
              <w:jc w:val="left"/>
              <w:rPr>
                <w:rFonts w:cs="Times New Roman"/>
                <w:color w:val="000000"/>
                <w:sz w:val="24"/>
                <w:lang w:val="en-US"/>
              </w:rPr>
            </w:pPr>
            <w:r w:rsidRPr="00830B5B">
              <w:rPr>
                <w:rFonts w:cs="Times New Roman"/>
                <w:color w:val="000000"/>
                <w:sz w:val="24"/>
                <w:lang w:val="en-US"/>
              </w:rPr>
              <w:t xml:space="preserve">Về đối tượng đấu giá và kho số viễn thông mang ra đấu giá </w:t>
            </w:r>
          </w:p>
        </w:tc>
        <w:tc>
          <w:tcPr>
            <w:tcW w:w="1530" w:type="dxa"/>
            <w:vAlign w:val="center"/>
          </w:tcPr>
          <w:p w14:paraId="5570D2EB" w14:textId="23B08712" w:rsidR="00E336A6" w:rsidRPr="00830B5B" w:rsidRDefault="00E336A6" w:rsidP="00100153">
            <w:pPr>
              <w:rPr>
                <w:rFonts w:cs="Times New Roman"/>
                <w:color w:val="000000"/>
                <w:sz w:val="24"/>
                <w:lang w:val="en-US"/>
              </w:rPr>
            </w:pPr>
            <w:r w:rsidRPr="00830B5B">
              <w:rPr>
                <w:rFonts w:cs="Times New Roman"/>
                <w:b/>
                <w:sz w:val="24"/>
                <w:lang w:val="en-US"/>
              </w:rPr>
              <w:t>Bộ Tư pháp</w:t>
            </w:r>
          </w:p>
        </w:tc>
        <w:tc>
          <w:tcPr>
            <w:tcW w:w="6300" w:type="dxa"/>
          </w:tcPr>
          <w:p w14:paraId="198091F5" w14:textId="4A82CAF1" w:rsidR="00E336A6" w:rsidRPr="00830B5B" w:rsidRDefault="00E336A6" w:rsidP="00100153">
            <w:pPr>
              <w:rPr>
                <w:rFonts w:cs="Times New Roman"/>
                <w:color w:val="000000"/>
                <w:sz w:val="24"/>
              </w:rPr>
            </w:pPr>
            <w:r w:rsidRPr="00830B5B">
              <w:rPr>
                <w:rFonts w:cs="Times New Roman"/>
                <w:color w:val="000000"/>
                <w:sz w:val="24"/>
                <w:lang w:val="en-US"/>
              </w:rPr>
              <w:t>T</w:t>
            </w:r>
            <w:r w:rsidRPr="00830B5B">
              <w:rPr>
                <w:rFonts w:cs="Times New Roman"/>
                <w:color w:val="000000"/>
                <w:sz w:val="24"/>
              </w:rPr>
              <w:t xml:space="preserve">ại Điều 9, Điều 12 và Điều 14 dự thảo Quyết định, việc đấu giá của hai chủ thể tương ứng với hai loại tài sản gồm: (1) Bộ Thông tin và Truyền thông tổ chức đấu giá các </w:t>
            </w:r>
            <w:r w:rsidRPr="00830B5B">
              <w:rPr>
                <w:rFonts w:cs="Times New Roman"/>
                <w:i/>
                <w:color w:val="000000"/>
                <w:sz w:val="24"/>
              </w:rPr>
              <w:t>mã, số viễn thông chưa được phân bổ</w:t>
            </w:r>
            <w:r w:rsidRPr="00830B5B">
              <w:rPr>
                <w:rFonts w:cs="Times New Roman"/>
                <w:i/>
                <w:color w:val="000000"/>
                <w:sz w:val="24"/>
                <w:lang w:val="en-US"/>
              </w:rPr>
              <w:t xml:space="preserve"> (</w:t>
            </w:r>
            <w:r w:rsidRPr="00830B5B">
              <w:rPr>
                <w:rFonts w:cs="Times New Roman"/>
                <w:color w:val="000000"/>
                <w:sz w:val="24"/>
                <w:lang w:val="en-US"/>
              </w:rPr>
              <w:t>gồm</w:t>
            </w:r>
            <w:r w:rsidRPr="00830B5B">
              <w:rPr>
                <w:rFonts w:cs="Times New Roman"/>
                <w:color w:val="000000"/>
                <w:sz w:val="24"/>
              </w:rPr>
              <w:t xml:space="preserve"> mã mạng di động, số dịch vụ tin nhắn ngắn SMS</w:t>
            </w:r>
            <w:r w:rsidRPr="00830B5B">
              <w:rPr>
                <w:rFonts w:cs="Times New Roman"/>
                <w:color w:val="000000"/>
                <w:sz w:val="24"/>
                <w:lang w:val="en-US"/>
              </w:rPr>
              <w:t>)</w:t>
            </w:r>
            <w:r w:rsidRPr="00830B5B">
              <w:rPr>
                <w:rFonts w:cs="Times New Roman"/>
                <w:color w:val="000000"/>
                <w:sz w:val="24"/>
              </w:rPr>
              <w:t>; (2) doanh nghiệp viễn thông tổ chức đấu giá</w:t>
            </w:r>
            <w:r w:rsidRPr="00830B5B">
              <w:rPr>
                <w:rFonts w:cs="Times New Roman"/>
                <w:i/>
                <w:color w:val="000000"/>
                <w:sz w:val="24"/>
              </w:rPr>
              <w:t xml:space="preserve"> kho số viễn thông đã cấp cho doanh nghiệp viễn thông</w:t>
            </w:r>
            <w:r w:rsidRPr="00830B5B">
              <w:rPr>
                <w:rFonts w:cs="Times New Roman"/>
                <w:color w:val="000000"/>
                <w:sz w:val="24"/>
              </w:rPr>
              <w:t xml:space="preserve"> (nhưng doanh nghiệp viễn thông chưa cấp cho người dùng hoặc do thu hồi từ người dùng vi phạm hoặc do người dùng hoàn trả khi không còn nhu cầu sử dụng).</w:t>
            </w:r>
          </w:p>
          <w:p w14:paraId="46537AFF" w14:textId="77777777" w:rsidR="00E336A6" w:rsidRPr="00830B5B" w:rsidRDefault="00E336A6" w:rsidP="00100153">
            <w:pPr>
              <w:rPr>
                <w:rFonts w:cs="Times New Roman"/>
                <w:color w:val="000000"/>
                <w:sz w:val="24"/>
              </w:rPr>
            </w:pPr>
            <w:r w:rsidRPr="00830B5B">
              <w:rPr>
                <w:rFonts w:cs="Times New Roman"/>
                <w:color w:val="000000"/>
                <w:sz w:val="24"/>
              </w:rPr>
              <w:t xml:space="preserve"> </w:t>
            </w:r>
            <w:r w:rsidRPr="00830B5B">
              <w:rPr>
                <w:rFonts w:cs="Times New Roman"/>
                <w:color w:val="000000"/>
                <w:sz w:val="24"/>
                <w:lang w:val="en-US"/>
              </w:rPr>
              <w:t xml:space="preserve">Căn cứ </w:t>
            </w:r>
            <w:r w:rsidRPr="00830B5B">
              <w:rPr>
                <w:rFonts w:cs="Times New Roman"/>
                <w:color w:val="000000"/>
                <w:sz w:val="24"/>
                <w:shd w:val="clear" w:color="auto" w:fill="FFFFFF"/>
              </w:rPr>
              <w:t>khoản 1 Điều 107 Nghị định số 151/2017/NĐ-CP</w:t>
            </w:r>
            <w:r w:rsidRPr="00830B5B">
              <w:rPr>
                <w:rFonts w:cs="Times New Roman"/>
                <w:color w:val="000000"/>
                <w:sz w:val="24"/>
                <w:shd w:val="clear" w:color="auto" w:fill="FFFFFF"/>
                <w:lang w:val="en-US"/>
              </w:rPr>
              <w:t>,</w:t>
            </w:r>
            <w:r w:rsidRPr="00830B5B">
              <w:rPr>
                <w:rFonts w:cs="Times New Roman"/>
                <w:color w:val="000000"/>
                <w:sz w:val="24"/>
              </w:rPr>
              <w:t xml:space="preserve"> điểm a khoản 3 Điều 48 Luật Viễn thông</w:t>
            </w:r>
            <w:r w:rsidRPr="00830B5B">
              <w:rPr>
                <w:rFonts w:cs="Times New Roman"/>
                <w:color w:val="000000"/>
                <w:sz w:val="24"/>
                <w:lang w:val="en-US"/>
              </w:rPr>
              <w:t xml:space="preserve">, </w:t>
            </w:r>
            <w:r w:rsidRPr="00830B5B">
              <w:rPr>
                <w:rFonts w:cs="Times New Roman"/>
                <w:color w:val="000000"/>
                <w:sz w:val="24"/>
              </w:rPr>
              <w:t>điểm a khoản 1 Điều 49 Luật Viễn thông</w:t>
            </w:r>
            <w:r w:rsidRPr="00830B5B">
              <w:rPr>
                <w:rFonts w:cs="Times New Roman"/>
                <w:color w:val="000000"/>
                <w:sz w:val="24"/>
                <w:shd w:val="clear" w:color="auto" w:fill="FFFFFF"/>
              </w:rPr>
              <w:t xml:space="preserve">, nếu kho số viễn thông đã được Bộ Thông tin và Truyền thông phân bổ cho doanh nghiệp viễn thông thì doanh nghiệp có quyền quyết định và Nhà nước không can thiệp vào </w:t>
            </w:r>
            <w:r w:rsidRPr="00830B5B">
              <w:rPr>
                <w:rFonts w:cs="Times New Roman"/>
                <w:color w:val="000000"/>
                <w:sz w:val="24"/>
                <w:shd w:val="clear" w:color="auto" w:fill="FFFFFF"/>
              </w:rPr>
              <w:lastRenderedPageBreak/>
              <w:t>vấn đề này. Vì</w:t>
            </w:r>
            <w:r w:rsidRPr="00830B5B">
              <w:rPr>
                <w:rFonts w:cs="Times New Roman"/>
                <w:color w:val="000000"/>
                <w:sz w:val="24"/>
              </w:rPr>
              <w:t xml:space="preserve"> vậy, Bộ Tư pháp cho rằng, trong trường hợp này chỉ quy định Bộ Thông tin và Truyền thông thực hiện đấu giá kho số viễn thông.</w:t>
            </w:r>
          </w:p>
          <w:p w14:paraId="746C2B42" w14:textId="77777777" w:rsidR="009B02CC" w:rsidRPr="00830B5B" w:rsidRDefault="009B02CC" w:rsidP="00100153">
            <w:pPr>
              <w:rPr>
                <w:rFonts w:cs="Times New Roman"/>
                <w:i/>
                <w:color w:val="000000"/>
                <w:sz w:val="24"/>
              </w:rPr>
            </w:pPr>
          </w:p>
        </w:tc>
        <w:tc>
          <w:tcPr>
            <w:tcW w:w="5923" w:type="dxa"/>
            <w:vMerge w:val="restart"/>
          </w:tcPr>
          <w:p w14:paraId="379A09A1" w14:textId="77777777" w:rsidR="00751781" w:rsidRPr="00830B5B" w:rsidRDefault="00751781" w:rsidP="00751781">
            <w:pPr>
              <w:spacing w:before="120" w:line="264" w:lineRule="auto"/>
              <w:rPr>
                <w:rFonts w:cs="Times New Roman"/>
                <w:sz w:val="24"/>
              </w:rPr>
            </w:pPr>
            <w:r w:rsidRPr="00830B5B">
              <w:rPr>
                <w:rFonts w:cs="Times New Roman"/>
                <w:sz w:val="24"/>
              </w:rPr>
              <w:lastRenderedPageBreak/>
              <w:t>Theo quy định tại khoản 1 Điều 3 Luật quản lý tài sản công “Tài sản công là tài sản thuộc sở hữu toàn dân do Nhà nước đại diện chủ sở hữu và thống nhất quản lý”; khoản 7 Điều 4 phân loại tài sản công có kho số viễn thông.</w:t>
            </w:r>
          </w:p>
          <w:p w14:paraId="2B702F72" w14:textId="77777777" w:rsidR="00751781" w:rsidRPr="00830B5B" w:rsidRDefault="00751781" w:rsidP="00751781">
            <w:pPr>
              <w:spacing w:before="120" w:line="264" w:lineRule="auto"/>
              <w:rPr>
                <w:rFonts w:cs="Times New Roman"/>
                <w:sz w:val="24"/>
              </w:rPr>
            </w:pPr>
            <w:r w:rsidRPr="00830B5B">
              <w:rPr>
                <w:rFonts w:cs="Times New Roman"/>
                <w:sz w:val="24"/>
              </w:rPr>
              <w:t>Điều 105, 106 và 107 Nghị định 151/2017/NĐ-CP quy định chi tiết thi hành Luật Quản lý tài sản công nói rõ khi “lựa chọn sử dụng dãy số đặc biệt” trong kho số phục vụ quản lý thì tổ chức, cá nhân phải trả cho Nhà nước (ngoài phí, lệ phí theo quy định) tiền cấp quyền lựa chọn để được sử dụng.</w:t>
            </w:r>
          </w:p>
          <w:p w14:paraId="09D8E69C" w14:textId="08D33458" w:rsidR="00751781" w:rsidRPr="00830B5B" w:rsidRDefault="00751781" w:rsidP="00751781">
            <w:pPr>
              <w:spacing w:before="120" w:line="264" w:lineRule="auto"/>
              <w:rPr>
                <w:rFonts w:cs="Times New Roman"/>
                <w:sz w:val="24"/>
              </w:rPr>
            </w:pPr>
            <w:r w:rsidRPr="00830B5B">
              <w:rPr>
                <w:rFonts w:cs="Times New Roman"/>
                <w:sz w:val="24"/>
              </w:rPr>
              <w:t xml:space="preserve">Viễn thông là ngành kinh tế kỹ thuật đặc thù, sử dụng tài nguyên vô hình (kho số viễn thông, tên miền Internet…) để </w:t>
            </w:r>
            <w:r w:rsidRPr="00830B5B">
              <w:rPr>
                <w:rFonts w:cs="Times New Roman"/>
                <w:sz w:val="24"/>
              </w:rPr>
              <w:lastRenderedPageBreak/>
              <w:t>các doanh nghiệp viễn thông thiết lập mạng và cung cấp dịch vụ. Khác với kho số quản lý nhà nước về phương tiện giao thông thì cơ quan quản lý phân bổ (cấp) trực tiếp cho tổ chức, cá nhân nên việc “lựa chọn sử dụng dãy số đặc biệt” tổ chức, cá nhân sử dụng sẽ trả tiền cấp quyền lựa chọn sử dụng trực tiếp vào ngân sách nhà nước</w:t>
            </w:r>
            <w:r w:rsidRPr="00830B5B">
              <w:rPr>
                <w:rFonts w:cs="Times New Roman"/>
                <w:color w:val="FF0000"/>
                <w:sz w:val="24"/>
              </w:rPr>
              <w:t xml:space="preserve">. </w:t>
            </w:r>
            <w:r w:rsidRPr="00830B5B">
              <w:rPr>
                <w:rFonts w:cs="Times New Roman"/>
                <w:sz w:val="24"/>
              </w:rPr>
              <w:t xml:space="preserve">Đối với kho số viễn thông (số thuê bao viễn thông), cơ quan quản lý nhà nước chỉ phân bổ cho doanh nghiệp qua đấu giá hoặc trực tiếp theo quy hoạch (khoản 1 Điều 31 Nghị định 25/2011/NĐ-CP). Sau khi được phân bổ số thuê bao, doanh nghiệp phân bổ lại cho người sử dụng dịch vụ viễn thông qua giao kết hợp đồng cung cấp dịch vụ (phân bổ trực tiếp hoặc thông qua đấu giá đối với số thuê bao có cấu trúc đặc biệt). Thời điểm cấp quyền sử dụng kho số là thời điểm thực hiện giao kết hợp đồng cung cấp dịch vụ </w:t>
            </w:r>
            <w:r w:rsidR="00187BF0" w:rsidRPr="00187BF0">
              <w:rPr>
                <w:sz w:val="24"/>
              </w:rPr>
              <w:t>(thời điểm số thuê bao được lựa chọn, kích hoạt trên hệ thống và trở thành số thuê bao viễn thông - chính là thời điểm số thuê bao được đưa vào sử dụng)</w:t>
            </w:r>
            <w:r w:rsidRPr="00187BF0">
              <w:rPr>
                <w:rFonts w:cs="Times New Roman"/>
                <w:sz w:val="24"/>
              </w:rPr>
              <w:t xml:space="preserve">. </w:t>
            </w:r>
          </w:p>
          <w:p w14:paraId="0774223F" w14:textId="61139901" w:rsidR="00E336A6" w:rsidRPr="00830B5B" w:rsidRDefault="00751781" w:rsidP="00751781">
            <w:pPr>
              <w:spacing w:before="120" w:line="264" w:lineRule="auto"/>
              <w:rPr>
                <w:rFonts w:cs="Times New Roman"/>
                <w:color w:val="000000"/>
                <w:sz w:val="24"/>
                <w:lang w:val="en-US"/>
              </w:rPr>
            </w:pPr>
            <w:r w:rsidRPr="00830B5B">
              <w:rPr>
                <w:rFonts w:cs="Times New Roman"/>
                <w:sz w:val="24"/>
              </w:rPr>
              <w:t xml:space="preserve">Theo quy định tại khoản 3 Điều 107 Nghị định 151/2017/NĐ-CP thì Bộ được giao quản lý nhà nước đối với kho số có trách nhiệm xây dựng, trình Thủ tướng Chính phủ quy định về hình thức thu tiền cấp quyền lựa chọn sử dụng kho số, xác định giá khởi điểm để đấu giá, lộ trình thực hiện và các nội dung cần thiết khác để thực hiện việc thu tiền cấp quyền lựa chọn sử dụng kho số thuộc phạm vi quản lý nhà nước của Bộ. Theo quy định này, với phân tích ở trên Bộ Thông tin và Truyền thông bảo lưu quan điểm là tổ chức đấu giá các số thuê bao có cấu trúc đặc biệt đã phân bổ cho </w:t>
            </w:r>
            <w:r w:rsidRPr="00830B5B">
              <w:rPr>
                <w:rFonts w:cs="Times New Roman"/>
                <w:sz w:val="24"/>
              </w:rPr>
              <w:lastRenderedPageBreak/>
              <w:t>doanh nghiệp nhưng chưa được phân bổ cho người sử dụng dịch vụ qua giao kết hợp đồng. Để không trái với quy định tại khoản 1 Điều 31 Nghị định số 25/2011/NĐ-CP thì cần giao cho doanh nghiệp tổ chức đấu giá. Việc này cũng phù hợp với quy định tại khoản 5, Điều 5 Luật Đấu giá tài sản. Tiền trúng đấu giá phải ngân sách sau khi trừ các chi phí theo quy định của pháp luật.</w:t>
            </w:r>
          </w:p>
        </w:tc>
      </w:tr>
      <w:tr w:rsidR="00F15C0F" w:rsidRPr="00830B5B" w14:paraId="6D3507C6" w14:textId="77777777" w:rsidTr="00830B5B">
        <w:tc>
          <w:tcPr>
            <w:tcW w:w="671" w:type="dxa"/>
            <w:vMerge/>
            <w:vAlign w:val="center"/>
          </w:tcPr>
          <w:p w14:paraId="7411C455" w14:textId="77777777" w:rsidR="00F15C0F" w:rsidRPr="00830B5B" w:rsidRDefault="00F15C0F" w:rsidP="00F15C0F">
            <w:pPr>
              <w:jc w:val="center"/>
              <w:rPr>
                <w:rFonts w:cs="Times New Roman"/>
                <w:b/>
                <w:sz w:val="24"/>
                <w:lang w:val="en-US"/>
              </w:rPr>
            </w:pPr>
          </w:p>
        </w:tc>
        <w:tc>
          <w:tcPr>
            <w:tcW w:w="1399" w:type="dxa"/>
            <w:vMerge/>
          </w:tcPr>
          <w:p w14:paraId="68A5DF8C" w14:textId="77777777" w:rsidR="00F15C0F" w:rsidRPr="00830B5B" w:rsidRDefault="00F15C0F" w:rsidP="00F15C0F">
            <w:pPr>
              <w:rPr>
                <w:rFonts w:cs="Times New Roman"/>
                <w:color w:val="000000"/>
                <w:sz w:val="24"/>
                <w:lang w:val="en-US"/>
              </w:rPr>
            </w:pPr>
          </w:p>
        </w:tc>
        <w:tc>
          <w:tcPr>
            <w:tcW w:w="1530" w:type="dxa"/>
            <w:vAlign w:val="center"/>
          </w:tcPr>
          <w:p w14:paraId="6A587ABE" w14:textId="77777777" w:rsidR="00793342" w:rsidRPr="00830B5B" w:rsidRDefault="00793342" w:rsidP="00C11CD6">
            <w:pPr>
              <w:jc w:val="center"/>
              <w:rPr>
                <w:rFonts w:cs="Times New Roman"/>
                <w:b/>
                <w:sz w:val="24"/>
                <w:lang w:val="en-US"/>
              </w:rPr>
            </w:pPr>
          </w:p>
          <w:p w14:paraId="3E7DE2A3" w14:textId="26782095" w:rsidR="00F15C0F" w:rsidRPr="00830B5B" w:rsidRDefault="00F15C0F" w:rsidP="00C11CD6">
            <w:pPr>
              <w:jc w:val="center"/>
              <w:rPr>
                <w:rFonts w:cs="Times New Roman"/>
                <w:b/>
                <w:sz w:val="24"/>
                <w:lang w:val="en-US"/>
              </w:rPr>
            </w:pPr>
            <w:r w:rsidRPr="00830B5B">
              <w:rPr>
                <w:rFonts w:cs="Times New Roman"/>
                <w:b/>
                <w:sz w:val="24"/>
                <w:lang w:val="en-US"/>
              </w:rPr>
              <w:t>Bộ Tài chính</w:t>
            </w:r>
          </w:p>
        </w:tc>
        <w:tc>
          <w:tcPr>
            <w:tcW w:w="6300" w:type="dxa"/>
          </w:tcPr>
          <w:p w14:paraId="5F69AE3A" w14:textId="77777777" w:rsidR="00793342" w:rsidRPr="00830B5B" w:rsidRDefault="00793342" w:rsidP="00F15C0F">
            <w:pPr>
              <w:rPr>
                <w:rFonts w:cs="Times New Roman"/>
                <w:sz w:val="24"/>
                <w:lang w:val="nl-NL"/>
              </w:rPr>
            </w:pPr>
          </w:p>
          <w:p w14:paraId="7E6C6CD0" w14:textId="75E3E009" w:rsidR="00F15C0F" w:rsidRPr="00830B5B" w:rsidRDefault="00F15C0F" w:rsidP="00F15C0F">
            <w:pPr>
              <w:rPr>
                <w:rFonts w:cs="Times New Roman"/>
                <w:color w:val="000000"/>
                <w:sz w:val="24"/>
                <w:lang w:val="en-US"/>
              </w:rPr>
            </w:pPr>
            <w:r w:rsidRPr="00830B5B">
              <w:rPr>
                <w:rFonts w:cs="Times New Roman"/>
                <w:sz w:val="24"/>
                <w:lang w:val="nl-NL"/>
              </w:rPr>
              <w:t xml:space="preserve">Căn cứ khoản 5 Điều 48 Luật Viễn thông, đề nghị làm rõ căn cứ pháp lý quy định các doanh nghiệp tổ chức đấu giá mã, số viễn thông. </w:t>
            </w:r>
          </w:p>
        </w:tc>
        <w:tc>
          <w:tcPr>
            <w:tcW w:w="5923" w:type="dxa"/>
            <w:vMerge/>
          </w:tcPr>
          <w:p w14:paraId="20977375" w14:textId="77777777" w:rsidR="00F15C0F" w:rsidRPr="00830B5B" w:rsidRDefault="00F15C0F" w:rsidP="00F15C0F">
            <w:pPr>
              <w:spacing w:line="264" w:lineRule="auto"/>
              <w:rPr>
                <w:rFonts w:cs="Times New Roman"/>
                <w:b/>
                <w:sz w:val="24"/>
                <w:lang w:val="en-US"/>
              </w:rPr>
            </w:pPr>
          </w:p>
        </w:tc>
      </w:tr>
      <w:tr w:rsidR="00F15C0F" w:rsidRPr="00830B5B" w14:paraId="44969D42" w14:textId="77777777" w:rsidTr="00830B5B">
        <w:trPr>
          <w:trHeight w:val="543"/>
        </w:trPr>
        <w:tc>
          <w:tcPr>
            <w:tcW w:w="671" w:type="dxa"/>
            <w:vMerge/>
            <w:vAlign w:val="center"/>
          </w:tcPr>
          <w:p w14:paraId="108A47DC" w14:textId="77777777" w:rsidR="00F15C0F" w:rsidRPr="00830B5B" w:rsidRDefault="00F15C0F" w:rsidP="00F15C0F">
            <w:pPr>
              <w:jc w:val="center"/>
              <w:rPr>
                <w:rFonts w:cs="Times New Roman"/>
                <w:b/>
                <w:sz w:val="24"/>
                <w:lang w:val="en-US"/>
              </w:rPr>
            </w:pPr>
          </w:p>
        </w:tc>
        <w:tc>
          <w:tcPr>
            <w:tcW w:w="1399" w:type="dxa"/>
            <w:vMerge/>
          </w:tcPr>
          <w:p w14:paraId="23F3871C" w14:textId="77777777" w:rsidR="00F15C0F" w:rsidRPr="00830B5B" w:rsidRDefault="00F15C0F" w:rsidP="00F15C0F">
            <w:pPr>
              <w:rPr>
                <w:rFonts w:cs="Times New Roman"/>
                <w:color w:val="000000"/>
                <w:sz w:val="24"/>
                <w:lang w:val="en-US"/>
              </w:rPr>
            </w:pPr>
          </w:p>
        </w:tc>
        <w:tc>
          <w:tcPr>
            <w:tcW w:w="1530" w:type="dxa"/>
            <w:vAlign w:val="center"/>
          </w:tcPr>
          <w:p w14:paraId="744DD3CA" w14:textId="77777777" w:rsidR="00793342" w:rsidRPr="00830B5B" w:rsidRDefault="00793342" w:rsidP="00C11CD6">
            <w:pPr>
              <w:jc w:val="center"/>
              <w:rPr>
                <w:rFonts w:cs="Times New Roman"/>
                <w:b/>
                <w:color w:val="000000"/>
                <w:sz w:val="24"/>
                <w:lang w:val="en-US"/>
              </w:rPr>
            </w:pPr>
          </w:p>
          <w:p w14:paraId="5092FBE3" w14:textId="6C9470B1" w:rsidR="00F15C0F" w:rsidRPr="00830B5B" w:rsidRDefault="00F15C0F" w:rsidP="004B7D24">
            <w:pPr>
              <w:jc w:val="center"/>
              <w:rPr>
                <w:rFonts w:cs="Times New Roman"/>
                <w:b/>
                <w:color w:val="000000"/>
                <w:sz w:val="24"/>
                <w:lang w:val="en-US"/>
              </w:rPr>
            </w:pPr>
            <w:r w:rsidRPr="00830B5B">
              <w:rPr>
                <w:rFonts w:cs="Times New Roman"/>
                <w:b/>
                <w:color w:val="000000"/>
                <w:sz w:val="24"/>
                <w:lang w:val="en-US"/>
              </w:rPr>
              <w:t>Viettel</w:t>
            </w:r>
          </w:p>
        </w:tc>
        <w:tc>
          <w:tcPr>
            <w:tcW w:w="6300" w:type="dxa"/>
          </w:tcPr>
          <w:p w14:paraId="68C2DBB9" w14:textId="77777777" w:rsidR="00793342" w:rsidRPr="00830B5B" w:rsidRDefault="00793342" w:rsidP="00F15C0F">
            <w:pPr>
              <w:tabs>
                <w:tab w:val="left" w:pos="709"/>
              </w:tabs>
              <w:spacing w:before="120"/>
              <w:rPr>
                <w:rFonts w:cs="Times New Roman"/>
                <w:sz w:val="24"/>
              </w:rPr>
            </w:pPr>
          </w:p>
          <w:p w14:paraId="611BC1B8" w14:textId="77777777" w:rsidR="00F15C0F" w:rsidRPr="00830B5B" w:rsidRDefault="00F15C0F" w:rsidP="00F15C0F">
            <w:pPr>
              <w:tabs>
                <w:tab w:val="left" w:pos="709"/>
              </w:tabs>
              <w:spacing w:before="120"/>
              <w:rPr>
                <w:rFonts w:cs="Times New Roman"/>
                <w:sz w:val="24"/>
              </w:rPr>
            </w:pPr>
            <w:r w:rsidRPr="00830B5B">
              <w:rPr>
                <w:rFonts w:cs="Times New Roman"/>
                <w:sz w:val="24"/>
              </w:rPr>
              <w:t xml:space="preserve">Chỉ đấu giá các mã, số mới chưa được phân bổ </w:t>
            </w:r>
          </w:p>
          <w:p w14:paraId="31D60E94" w14:textId="77777777" w:rsidR="00F15C0F" w:rsidRPr="00830B5B" w:rsidRDefault="00F15C0F" w:rsidP="00F15C0F">
            <w:pPr>
              <w:rPr>
                <w:rFonts w:cs="Times New Roman"/>
                <w:color w:val="000000"/>
                <w:sz w:val="24"/>
                <w:lang w:val="en-US"/>
              </w:rPr>
            </w:pPr>
          </w:p>
        </w:tc>
        <w:tc>
          <w:tcPr>
            <w:tcW w:w="5923" w:type="dxa"/>
            <w:vMerge/>
          </w:tcPr>
          <w:p w14:paraId="7BFA18CE" w14:textId="3F2763AF" w:rsidR="00F15C0F" w:rsidRPr="00830B5B" w:rsidRDefault="00F15C0F" w:rsidP="00F15C0F">
            <w:pPr>
              <w:spacing w:line="264" w:lineRule="auto"/>
              <w:rPr>
                <w:rFonts w:cs="Times New Roman"/>
                <w:b/>
                <w:sz w:val="24"/>
                <w:lang w:val="en-US"/>
              </w:rPr>
            </w:pPr>
          </w:p>
        </w:tc>
      </w:tr>
      <w:tr w:rsidR="00F15C0F" w:rsidRPr="00830B5B" w14:paraId="70B29714" w14:textId="77777777" w:rsidTr="00830B5B">
        <w:tc>
          <w:tcPr>
            <w:tcW w:w="671" w:type="dxa"/>
            <w:vMerge/>
            <w:vAlign w:val="center"/>
          </w:tcPr>
          <w:p w14:paraId="18CDFAFF" w14:textId="77777777" w:rsidR="00F15C0F" w:rsidRPr="00830B5B" w:rsidRDefault="00F15C0F" w:rsidP="00F15C0F">
            <w:pPr>
              <w:jc w:val="center"/>
              <w:rPr>
                <w:rFonts w:cs="Times New Roman"/>
                <w:b/>
                <w:sz w:val="24"/>
                <w:lang w:val="en-US"/>
              </w:rPr>
            </w:pPr>
          </w:p>
        </w:tc>
        <w:tc>
          <w:tcPr>
            <w:tcW w:w="1399" w:type="dxa"/>
            <w:vMerge/>
          </w:tcPr>
          <w:p w14:paraId="3122DA4F" w14:textId="77777777" w:rsidR="00F15C0F" w:rsidRPr="00830B5B" w:rsidRDefault="00F15C0F" w:rsidP="00F15C0F">
            <w:pPr>
              <w:rPr>
                <w:rFonts w:cs="Times New Roman"/>
                <w:color w:val="000000"/>
                <w:sz w:val="24"/>
                <w:lang w:val="en-US"/>
              </w:rPr>
            </w:pPr>
          </w:p>
        </w:tc>
        <w:tc>
          <w:tcPr>
            <w:tcW w:w="1530" w:type="dxa"/>
            <w:tcBorders>
              <w:bottom w:val="single" w:sz="4" w:space="0" w:color="auto"/>
            </w:tcBorders>
            <w:vAlign w:val="center"/>
          </w:tcPr>
          <w:p w14:paraId="211DE217" w14:textId="26330D55" w:rsidR="00F15C0F" w:rsidRPr="00830B5B" w:rsidRDefault="004B7D24" w:rsidP="00C11CD6">
            <w:pPr>
              <w:jc w:val="center"/>
              <w:rPr>
                <w:rFonts w:cs="Times New Roman"/>
                <w:b/>
                <w:color w:val="000000"/>
                <w:sz w:val="24"/>
                <w:lang w:val="en-US"/>
              </w:rPr>
            </w:pPr>
            <w:r w:rsidRPr="00830B5B">
              <w:rPr>
                <w:rFonts w:cs="Times New Roman"/>
                <w:b/>
                <w:bCs/>
                <w:sz w:val="24"/>
                <w:lang w:val="en-US"/>
              </w:rPr>
              <w:t>VNPT</w:t>
            </w:r>
            <w:r w:rsidRPr="00830B5B" w:rsidDel="005B26B3">
              <w:rPr>
                <w:rFonts w:cs="Times New Roman"/>
                <w:b/>
                <w:color w:val="000000"/>
                <w:sz w:val="24"/>
                <w:lang w:val="en-US"/>
              </w:rPr>
              <w:t xml:space="preserve"> </w:t>
            </w:r>
          </w:p>
        </w:tc>
        <w:tc>
          <w:tcPr>
            <w:tcW w:w="6300" w:type="dxa"/>
          </w:tcPr>
          <w:p w14:paraId="1A8F55C1" w14:textId="03CE1409" w:rsidR="00F15C0F" w:rsidRPr="00830B5B" w:rsidRDefault="00F15C0F" w:rsidP="00F15C0F">
            <w:pPr>
              <w:tabs>
                <w:tab w:val="left" w:pos="709"/>
              </w:tabs>
              <w:spacing w:before="120"/>
              <w:rPr>
                <w:rFonts w:cs="Times New Roman"/>
                <w:sz w:val="24"/>
              </w:rPr>
            </w:pPr>
          </w:p>
          <w:p w14:paraId="12775A95" w14:textId="39AD3A46" w:rsidR="00F15C0F" w:rsidRPr="00830B5B" w:rsidRDefault="004B7D24" w:rsidP="00F15C0F">
            <w:pPr>
              <w:tabs>
                <w:tab w:val="left" w:pos="709"/>
              </w:tabs>
              <w:spacing w:before="120"/>
              <w:rPr>
                <w:rFonts w:cs="Times New Roman"/>
                <w:sz w:val="24"/>
                <w:highlight w:val="yellow"/>
                <w:lang w:val="en-US"/>
              </w:rPr>
            </w:pPr>
            <w:bookmarkStart w:id="0" w:name="_Hlk52749832"/>
            <w:r w:rsidRPr="00830B5B">
              <w:rPr>
                <w:rFonts w:cs="Times New Roman"/>
                <w:sz w:val="24"/>
              </w:rPr>
              <w:t>Đề nghị xem xét để bỏ việc ủy quyền của Bộ TTTT cho doanh nghiệp viễn thông tổ chức đấu giá</w:t>
            </w:r>
            <w:r w:rsidRPr="00830B5B">
              <w:rPr>
                <w:rFonts w:cs="Times New Roman"/>
                <w:sz w:val="24"/>
                <w:lang w:val="en-US"/>
              </w:rPr>
              <w:t>.</w:t>
            </w:r>
            <w:bookmarkEnd w:id="0"/>
          </w:p>
        </w:tc>
        <w:tc>
          <w:tcPr>
            <w:tcW w:w="5923" w:type="dxa"/>
            <w:vMerge/>
          </w:tcPr>
          <w:p w14:paraId="07DAD1E3" w14:textId="65280AA3" w:rsidR="00F15C0F" w:rsidRPr="00830B5B" w:rsidRDefault="00F15C0F" w:rsidP="00F15C0F">
            <w:pPr>
              <w:spacing w:line="264" w:lineRule="auto"/>
              <w:rPr>
                <w:rFonts w:cs="Times New Roman"/>
                <w:b/>
                <w:sz w:val="24"/>
                <w:highlight w:val="yellow"/>
                <w:lang w:val="en-US"/>
              </w:rPr>
            </w:pPr>
          </w:p>
        </w:tc>
      </w:tr>
      <w:tr w:rsidR="00830428" w:rsidRPr="00830B5B" w14:paraId="70BB07F4" w14:textId="77777777" w:rsidTr="00830B5B">
        <w:tc>
          <w:tcPr>
            <w:tcW w:w="671" w:type="dxa"/>
            <w:vMerge w:val="restart"/>
            <w:vAlign w:val="center"/>
          </w:tcPr>
          <w:p w14:paraId="30818A90" w14:textId="7A1D851E" w:rsidR="00830428" w:rsidRPr="00830B5B" w:rsidRDefault="00830428" w:rsidP="00F15C0F">
            <w:pPr>
              <w:jc w:val="center"/>
              <w:rPr>
                <w:rFonts w:cs="Times New Roman"/>
                <w:b/>
                <w:sz w:val="24"/>
                <w:lang w:val="en-US"/>
              </w:rPr>
            </w:pPr>
            <w:r w:rsidRPr="00830B5B">
              <w:rPr>
                <w:rFonts w:cs="Times New Roman"/>
                <w:b/>
                <w:sz w:val="24"/>
                <w:lang w:val="en-US"/>
              </w:rPr>
              <w:t>3</w:t>
            </w:r>
          </w:p>
        </w:tc>
        <w:tc>
          <w:tcPr>
            <w:tcW w:w="1399" w:type="dxa"/>
            <w:vMerge w:val="restart"/>
          </w:tcPr>
          <w:p w14:paraId="2F25364A" w14:textId="77777777" w:rsidR="00830428" w:rsidRPr="00830B5B" w:rsidRDefault="00830428" w:rsidP="00F15C0F">
            <w:pPr>
              <w:rPr>
                <w:rFonts w:cs="Times New Roman"/>
                <w:bCs/>
                <w:color w:val="000000"/>
                <w:sz w:val="24"/>
                <w:lang w:val="en-US"/>
              </w:rPr>
            </w:pPr>
          </w:p>
          <w:p w14:paraId="41A07EC3" w14:textId="77777777" w:rsidR="00830428" w:rsidRPr="00830B5B" w:rsidRDefault="00830428" w:rsidP="00F15C0F">
            <w:pPr>
              <w:rPr>
                <w:rFonts w:cs="Times New Roman"/>
                <w:bCs/>
                <w:color w:val="000000"/>
                <w:sz w:val="24"/>
                <w:lang w:val="en-US"/>
              </w:rPr>
            </w:pPr>
          </w:p>
          <w:p w14:paraId="452BDC6D" w14:textId="77777777" w:rsidR="00830428" w:rsidRPr="00830B5B" w:rsidRDefault="00830428" w:rsidP="00F15C0F">
            <w:pPr>
              <w:rPr>
                <w:rFonts w:cs="Times New Roman"/>
                <w:bCs/>
                <w:color w:val="000000"/>
                <w:sz w:val="24"/>
                <w:lang w:val="en-US"/>
              </w:rPr>
            </w:pPr>
          </w:p>
          <w:p w14:paraId="5993B98A" w14:textId="38DC0503" w:rsidR="00830428" w:rsidRPr="00830B5B" w:rsidRDefault="00830428" w:rsidP="00793342">
            <w:pPr>
              <w:jc w:val="left"/>
              <w:rPr>
                <w:rFonts w:cs="Times New Roman"/>
                <w:b/>
                <w:bCs/>
                <w:color w:val="000000"/>
                <w:sz w:val="24"/>
                <w:lang w:val="en-US"/>
              </w:rPr>
            </w:pPr>
            <w:r w:rsidRPr="00830B5B">
              <w:rPr>
                <w:rFonts w:cs="Times New Roman"/>
                <w:bCs/>
                <w:color w:val="000000"/>
                <w:sz w:val="24"/>
                <w:lang w:val="en-US"/>
              </w:rPr>
              <w:t>Về quy trình thủ tục</w:t>
            </w:r>
          </w:p>
        </w:tc>
        <w:tc>
          <w:tcPr>
            <w:tcW w:w="1530" w:type="dxa"/>
            <w:tcBorders>
              <w:top w:val="nil"/>
            </w:tcBorders>
            <w:vAlign w:val="center"/>
          </w:tcPr>
          <w:p w14:paraId="2CBB77C6" w14:textId="0D7D1675" w:rsidR="00830428" w:rsidRPr="00830B5B" w:rsidRDefault="00830428" w:rsidP="00F15C0F">
            <w:pPr>
              <w:rPr>
                <w:rFonts w:cs="Times New Roman"/>
                <w:bCs/>
                <w:color w:val="000000"/>
                <w:sz w:val="24"/>
                <w:lang w:val="en-US"/>
              </w:rPr>
            </w:pPr>
            <w:r w:rsidRPr="00830B5B">
              <w:rPr>
                <w:rFonts w:cs="Times New Roman"/>
                <w:b/>
                <w:sz w:val="24"/>
                <w:lang w:val="en-US"/>
              </w:rPr>
              <w:t>Bộ Tư pháp</w:t>
            </w:r>
          </w:p>
        </w:tc>
        <w:tc>
          <w:tcPr>
            <w:tcW w:w="6300" w:type="dxa"/>
          </w:tcPr>
          <w:p w14:paraId="4490B2C5" w14:textId="3AABE3D5" w:rsidR="00830428" w:rsidRPr="00830B5B" w:rsidRDefault="00830428" w:rsidP="00B77794">
            <w:pPr>
              <w:rPr>
                <w:rFonts w:cs="Times New Roman"/>
                <w:i/>
                <w:color w:val="000000"/>
                <w:sz w:val="24"/>
              </w:rPr>
            </w:pPr>
            <w:r w:rsidRPr="00830B5B">
              <w:rPr>
                <w:rFonts w:cs="Times New Roman"/>
                <w:bCs/>
                <w:color w:val="000000"/>
                <w:sz w:val="24"/>
                <w:lang w:val="en-US"/>
              </w:rPr>
              <w:t xml:space="preserve">Theo </w:t>
            </w:r>
            <w:r w:rsidRPr="00830B5B">
              <w:rPr>
                <w:rFonts w:cs="Times New Roman"/>
                <w:bCs/>
                <w:color w:val="000000"/>
                <w:sz w:val="24"/>
              </w:rPr>
              <w:t>quy định tại khoản 1 Điều 3 và điểm a khoản 1 Điều 4 Luật Đấu giá tài sản năm 2016 thì tài sản công là tài sản phải bán thông qua đấu giá và theo trình tự, thủ tục của Luật Đấu giá tài sản. Vì vậy, đề nghị không quy định lại các nội dung về trình tự, thủ tục đấu giá (Điều 2, 3, 4, 5, 6, 7, 8, 9… dự thảo Quyết định) đã được quy định trong Luật Đấu giá tài sản.</w:t>
            </w:r>
          </w:p>
        </w:tc>
        <w:tc>
          <w:tcPr>
            <w:tcW w:w="5923" w:type="dxa"/>
          </w:tcPr>
          <w:p w14:paraId="7E26F758" w14:textId="77777777" w:rsidR="00830428" w:rsidRPr="00830B5B" w:rsidRDefault="00830428" w:rsidP="00F15C0F">
            <w:pPr>
              <w:rPr>
                <w:rFonts w:cs="Times New Roman"/>
                <w:b/>
                <w:sz w:val="24"/>
                <w:lang w:val="en-US"/>
              </w:rPr>
            </w:pPr>
            <w:r w:rsidRPr="00830B5B">
              <w:rPr>
                <w:rFonts w:cs="Times New Roman"/>
                <w:b/>
                <w:sz w:val="24"/>
                <w:lang w:val="en-US"/>
              </w:rPr>
              <w:t>Tiếp thu</w:t>
            </w:r>
          </w:p>
          <w:p w14:paraId="37EBEB9F" w14:textId="77777777" w:rsidR="00830428" w:rsidRPr="00830B5B" w:rsidRDefault="00830428" w:rsidP="00F15C0F">
            <w:pPr>
              <w:rPr>
                <w:rFonts w:cs="Times New Roman"/>
                <w:b/>
                <w:sz w:val="24"/>
                <w:u w:val="single"/>
                <w:lang w:val="en-US"/>
              </w:rPr>
            </w:pPr>
            <w:r w:rsidRPr="00830B5B">
              <w:rPr>
                <w:rFonts w:cs="Times New Roman"/>
                <w:sz w:val="24"/>
                <w:lang w:val="en-US"/>
              </w:rPr>
              <w:t xml:space="preserve">Đối với các nội dung về </w:t>
            </w:r>
            <w:r w:rsidRPr="00830B5B">
              <w:rPr>
                <w:rFonts w:cs="Times New Roman"/>
                <w:bCs/>
                <w:color w:val="000000"/>
                <w:sz w:val="24"/>
              </w:rPr>
              <w:t>trình tự, thủ tục đấu giá</w:t>
            </w:r>
            <w:r w:rsidRPr="00830B5B">
              <w:rPr>
                <w:rFonts w:cs="Times New Roman"/>
                <w:b/>
                <w:bCs/>
                <w:color w:val="000000"/>
                <w:sz w:val="24"/>
              </w:rPr>
              <w:t xml:space="preserve"> </w:t>
            </w:r>
            <w:r w:rsidRPr="00830B5B">
              <w:rPr>
                <w:rFonts w:cs="Times New Roman"/>
                <w:bCs/>
                <w:color w:val="000000"/>
                <w:sz w:val="24"/>
                <w:lang w:val="en-US"/>
              </w:rPr>
              <w:t xml:space="preserve">sẽ áp dụng theo </w:t>
            </w:r>
            <w:r w:rsidRPr="00830B5B">
              <w:rPr>
                <w:rFonts w:cs="Times New Roman"/>
                <w:bCs/>
                <w:color w:val="000000"/>
                <w:sz w:val="24"/>
              </w:rPr>
              <w:t>Luật Đấu giá tài sản</w:t>
            </w:r>
            <w:r w:rsidRPr="00830B5B">
              <w:rPr>
                <w:rFonts w:cs="Times New Roman"/>
                <w:bCs/>
                <w:color w:val="000000"/>
                <w:sz w:val="24"/>
                <w:lang w:val="en-US"/>
              </w:rPr>
              <w:t>.</w:t>
            </w:r>
          </w:p>
        </w:tc>
      </w:tr>
      <w:tr w:rsidR="00830428" w:rsidRPr="00830B5B" w14:paraId="4AF3AF02" w14:textId="77777777" w:rsidTr="00830B5B">
        <w:tc>
          <w:tcPr>
            <w:tcW w:w="671" w:type="dxa"/>
            <w:vMerge/>
            <w:vAlign w:val="center"/>
          </w:tcPr>
          <w:p w14:paraId="5CADBB8E" w14:textId="77777777" w:rsidR="00830428" w:rsidRPr="00830B5B" w:rsidRDefault="00830428" w:rsidP="00F15C0F">
            <w:pPr>
              <w:jc w:val="center"/>
              <w:rPr>
                <w:rFonts w:cs="Times New Roman"/>
                <w:b/>
                <w:sz w:val="24"/>
                <w:lang w:val="en-US"/>
              </w:rPr>
            </w:pPr>
          </w:p>
        </w:tc>
        <w:tc>
          <w:tcPr>
            <w:tcW w:w="1399" w:type="dxa"/>
            <w:vMerge/>
          </w:tcPr>
          <w:p w14:paraId="10010B2F" w14:textId="77777777" w:rsidR="00830428" w:rsidRPr="00830B5B" w:rsidRDefault="00830428" w:rsidP="00F15C0F">
            <w:pPr>
              <w:rPr>
                <w:rFonts w:cs="Times New Roman"/>
                <w:bCs/>
                <w:color w:val="000000"/>
                <w:sz w:val="24"/>
                <w:lang w:val="en-US"/>
              </w:rPr>
            </w:pPr>
          </w:p>
        </w:tc>
        <w:tc>
          <w:tcPr>
            <w:tcW w:w="1530" w:type="dxa"/>
            <w:vAlign w:val="center"/>
          </w:tcPr>
          <w:p w14:paraId="1316C053" w14:textId="1637CF3F" w:rsidR="00830428" w:rsidRPr="00830B5B" w:rsidRDefault="00830428" w:rsidP="00F15C0F">
            <w:pPr>
              <w:rPr>
                <w:rFonts w:cs="Times New Roman"/>
                <w:b/>
                <w:sz w:val="24"/>
                <w:lang w:val="en-US"/>
              </w:rPr>
            </w:pPr>
            <w:r w:rsidRPr="00830B5B">
              <w:rPr>
                <w:rFonts w:cs="Times New Roman"/>
                <w:b/>
                <w:sz w:val="24"/>
                <w:lang w:val="en-US"/>
              </w:rPr>
              <w:t>Viettel</w:t>
            </w:r>
          </w:p>
        </w:tc>
        <w:tc>
          <w:tcPr>
            <w:tcW w:w="6300" w:type="dxa"/>
          </w:tcPr>
          <w:p w14:paraId="6ADCF71B" w14:textId="303EEA95" w:rsidR="00830428" w:rsidRPr="00830B5B" w:rsidRDefault="00830428" w:rsidP="00F15C0F">
            <w:pPr>
              <w:rPr>
                <w:rFonts w:cs="Times New Roman"/>
                <w:bCs/>
                <w:color w:val="000000"/>
                <w:sz w:val="24"/>
                <w:lang w:val="en-US"/>
              </w:rPr>
            </w:pPr>
            <w:r w:rsidRPr="00830B5B">
              <w:rPr>
                <w:rFonts w:cs="Times New Roman"/>
                <w:sz w:val="24"/>
              </w:rPr>
              <w:t>Đề xuất bổ sung hình thức nộp hồ sơ qua cổng dịch vụ công trực tuyến</w:t>
            </w:r>
            <w:r w:rsidRPr="00830B5B">
              <w:rPr>
                <w:rFonts w:cs="Times New Roman"/>
                <w:sz w:val="24"/>
                <w:lang w:val="en-US"/>
              </w:rPr>
              <w:t xml:space="preserve"> đối với quy định tại </w:t>
            </w:r>
            <w:r w:rsidRPr="00830B5B">
              <w:rPr>
                <w:rFonts w:cs="Times New Roman"/>
                <w:sz w:val="24"/>
              </w:rPr>
              <w:t>Khoản 1 Điều 34</w:t>
            </w:r>
          </w:p>
        </w:tc>
        <w:tc>
          <w:tcPr>
            <w:tcW w:w="5923" w:type="dxa"/>
          </w:tcPr>
          <w:p w14:paraId="78BA26A3" w14:textId="77777777" w:rsidR="00830428" w:rsidRPr="00830B5B" w:rsidRDefault="00830428" w:rsidP="00F15C0F">
            <w:pPr>
              <w:rPr>
                <w:rFonts w:cs="Times New Roman"/>
                <w:b/>
                <w:sz w:val="24"/>
                <w:lang w:val="en-US"/>
              </w:rPr>
            </w:pPr>
            <w:r w:rsidRPr="00830B5B">
              <w:rPr>
                <w:rFonts w:cs="Times New Roman"/>
                <w:b/>
                <w:sz w:val="24"/>
                <w:lang w:val="en-US"/>
              </w:rPr>
              <w:t>Tiếp thu</w:t>
            </w:r>
          </w:p>
          <w:p w14:paraId="3A00C789" w14:textId="18692EDF" w:rsidR="00830428" w:rsidRPr="00830B5B" w:rsidRDefault="00830428" w:rsidP="00F15C0F">
            <w:pPr>
              <w:rPr>
                <w:rFonts w:cs="Times New Roman"/>
                <w:b/>
                <w:sz w:val="24"/>
                <w:lang w:val="en-US"/>
              </w:rPr>
            </w:pPr>
            <w:r w:rsidRPr="00830B5B">
              <w:rPr>
                <w:rFonts w:cs="Times New Roman"/>
                <w:sz w:val="24"/>
                <w:lang w:val="en-US"/>
              </w:rPr>
              <w:t>B</w:t>
            </w:r>
            <w:r w:rsidRPr="00830B5B">
              <w:rPr>
                <w:rFonts w:cs="Times New Roman"/>
                <w:sz w:val="24"/>
              </w:rPr>
              <w:t>ổ sung hình thức nộp hồ sơ qua cổng dịch vụ công trực tuyến</w:t>
            </w:r>
            <w:r w:rsidRPr="00830B5B">
              <w:rPr>
                <w:rFonts w:cs="Times New Roman"/>
                <w:sz w:val="24"/>
                <w:lang w:val="en-US"/>
              </w:rPr>
              <w:t xml:space="preserve"> tại </w:t>
            </w:r>
            <w:r w:rsidRPr="00830B5B">
              <w:rPr>
                <w:rFonts w:cs="Times New Roman"/>
                <w:sz w:val="24"/>
              </w:rPr>
              <w:t>Khoản 1 Điều 34</w:t>
            </w:r>
          </w:p>
        </w:tc>
      </w:tr>
      <w:tr w:rsidR="008276D9" w:rsidRPr="00830B5B" w14:paraId="1D52B995" w14:textId="77777777" w:rsidTr="00830B5B">
        <w:tc>
          <w:tcPr>
            <w:tcW w:w="671" w:type="dxa"/>
            <w:vAlign w:val="center"/>
          </w:tcPr>
          <w:p w14:paraId="522D09A2" w14:textId="5988C802" w:rsidR="008276D9" w:rsidRPr="00830B5B" w:rsidRDefault="008276D9" w:rsidP="00F15C0F">
            <w:pPr>
              <w:jc w:val="center"/>
              <w:rPr>
                <w:rFonts w:cs="Times New Roman"/>
                <w:b/>
                <w:sz w:val="24"/>
                <w:lang w:val="en-US"/>
              </w:rPr>
            </w:pPr>
            <w:r w:rsidRPr="00830B5B">
              <w:rPr>
                <w:rFonts w:cs="Times New Roman"/>
                <w:b/>
                <w:sz w:val="24"/>
                <w:lang w:val="en-US"/>
              </w:rPr>
              <w:t>4</w:t>
            </w:r>
          </w:p>
        </w:tc>
        <w:tc>
          <w:tcPr>
            <w:tcW w:w="1399" w:type="dxa"/>
          </w:tcPr>
          <w:p w14:paraId="5D1AE132" w14:textId="61BC24E0" w:rsidR="008276D9" w:rsidRPr="00830B5B" w:rsidRDefault="00A74348" w:rsidP="00297B8A">
            <w:pPr>
              <w:jc w:val="left"/>
              <w:rPr>
                <w:rFonts w:cs="Times New Roman"/>
                <w:color w:val="000000"/>
                <w:sz w:val="24"/>
                <w:lang w:val="en-US"/>
              </w:rPr>
            </w:pPr>
            <w:r w:rsidRPr="00830B5B">
              <w:rPr>
                <w:rFonts w:cs="Times New Roman"/>
                <w:color w:val="000000"/>
                <w:sz w:val="24"/>
                <w:lang w:val="en-US"/>
              </w:rPr>
              <w:t>Về hình thức, phương thức đấu giá</w:t>
            </w:r>
          </w:p>
        </w:tc>
        <w:tc>
          <w:tcPr>
            <w:tcW w:w="1530" w:type="dxa"/>
            <w:vAlign w:val="center"/>
          </w:tcPr>
          <w:p w14:paraId="15DC7478" w14:textId="12D34E24" w:rsidR="008276D9" w:rsidRPr="00830B5B" w:rsidRDefault="008276D9" w:rsidP="00F15C0F">
            <w:pPr>
              <w:rPr>
                <w:rFonts w:cs="Times New Roman"/>
                <w:color w:val="000000"/>
                <w:sz w:val="24"/>
              </w:rPr>
            </w:pPr>
            <w:r w:rsidRPr="00830B5B">
              <w:rPr>
                <w:rFonts w:cs="Times New Roman"/>
                <w:b/>
                <w:sz w:val="24"/>
                <w:lang w:val="en-US"/>
              </w:rPr>
              <w:t>Bộ Tư pháp</w:t>
            </w:r>
          </w:p>
        </w:tc>
        <w:tc>
          <w:tcPr>
            <w:tcW w:w="6300" w:type="dxa"/>
          </w:tcPr>
          <w:p w14:paraId="7A1F5E09" w14:textId="138A1424" w:rsidR="008276D9" w:rsidRPr="00830B5B" w:rsidRDefault="008276D9" w:rsidP="00F15C0F">
            <w:pPr>
              <w:rPr>
                <w:rFonts w:cs="Times New Roman"/>
                <w:color w:val="000000"/>
                <w:sz w:val="24"/>
                <w:lang w:val="en-US"/>
              </w:rPr>
            </w:pPr>
            <w:r w:rsidRPr="00830B5B">
              <w:rPr>
                <w:rFonts w:cs="Times New Roman"/>
                <w:color w:val="000000"/>
                <w:sz w:val="24"/>
              </w:rPr>
              <w:t xml:space="preserve">Điều 3 dự thảo Quyết định đang quy định một hình thức, phương thức đấu giá duy nhất là đấu giá trực tuyến theo phương thức trả giá lên. Tuy nhiên, theo quy định tại Điều 40 Luật Đấu giá tài sản còn có các hình thức đấu giá tài sản khác. </w:t>
            </w:r>
            <w:r w:rsidRPr="00830B5B">
              <w:rPr>
                <w:rFonts w:cs="Times New Roman"/>
                <w:color w:val="000000"/>
                <w:sz w:val="24"/>
                <w:lang w:val="en-US"/>
              </w:rPr>
              <w:t>Đ</w:t>
            </w:r>
            <w:r w:rsidRPr="00830B5B">
              <w:rPr>
                <w:rFonts w:cs="Times New Roman"/>
                <w:color w:val="000000"/>
                <w:sz w:val="24"/>
              </w:rPr>
              <w:t>ề nghị cân nhắc quy định vấn đề này theo hướng linh hoạt hơn, tạo điều kiện thuận lợi cho việc lựa chọn các hình thức đấu giá khi triển khai trên thực tế</w:t>
            </w:r>
            <w:r w:rsidRPr="00830B5B">
              <w:rPr>
                <w:rFonts w:cs="Times New Roman"/>
                <w:color w:val="000000"/>
                <w:sz w:val="24"/>
                <w:lang w:val="en-US"/>
              </w:rPr>
              <w:t>.</w:t>
            </w:r>
          </w:p>
        </w:tc>
        <w:tc>
          <w:tcPr>
            <w:tcW w:w="5923" w:type="dxa"/>
          </w:tcPr>
          <w:p w14:paraId="5DF516B9" w14:textId="4A0BDDA2" w:rsidR="001C3C8F" w:rsidRPr="00830B5B" w:rsidRDefault="001C3C8F">
            <w:pPr>
              <w:rPr>
                <w:rFonts w:cs="Times New Roman"/>
                <w:color w:val="FF0000"/>
                <w:sz w:val="24"/>
                <w:lang w:val="en-US"/>
              </w:rPr>
            </w:pPr>
          </w:p>
          <w:p w14:paraId="20E5588A" w14:textId="77777777" w:rsidR="008276D9" w:rsidRPr="00830B5B" w:rsidRDefault="001C3C8F">
            <w:pPr>
              <w:rPr>
                <w:rFonts w:cs="Times New Roman"/>
                <w:b/>
                <w:sz w:val="24"/>
                <w:lang w:val="en-US"/>
              </w:rPr>
            </w:pPr>
            <w:r w:rsidRPr="00830B5B">
              <w:rPr>
                <w:rFonts w:cs="Times New Roman"/>
                <w:b/>
                <w:sz w:val="24"/>
                <w:lang w:val="en-US"/>
              </w:rPr>
              <w:t>Tiếp thu</w:t>
            </w:r>
          </w:p>
          <w:p w14:paraId="39AF8374" w14:textId="444260B3" w:rsidR="001C3C8F" w:rsidRPr="00830B5B" w:rsidRDefault="001C3C8F">
            <w:pPr>
              <w:rPr>
                <w:rFonts w:cs="Times New Roman"/>
                <w:color w:val="FF0000"/>
                <w:sz w:val="24"/>
                <w:lang w:val="en-US"/>
              </w:rPr>
            </w:pPr>
            <w:r w:rsidRPr="00830B5B">
              <w:rPr>
                <w:rFonts w:cs="Times New Roman"/>
                <w:sz w:val="24"/>
                <w:lang w:val="en-US"/>
              </w:rPr>
              <w:t xml:space="preserve">Chỉnh lý tại điều </w:t>
            </w:r>
            <w:r w:rsidR="002076D7" w:rsidRPr="00830B5B">
              <w:rPr>
                <w:rFonts w:cs="Times New Roman"/>
                <w:sz w:val="24"/>
                <w:lang w:val="en-US"/>
              </w:rPr>
              <w:t>3 Dự thảo</w:t>
            </w:r>
          </w:p>
        </w:tc>
      </w:tr>
      <w:tr w:rsidR="008276D9" w:rsidRPr="00830B5B" w14:paraId="1B950B12" w14:textId="77777777" w:rsidTr="00830B5B">
        <w:tc>
          <w:tcPr>
            <w:tcW w:w="671" w:type="dxa"/>
            <w:vAlign w:val="center"/>
          </w:tcPr>
          <w:p w14:paraId="09A644B3" w14:textId="4341EF5A" w:rsidR="008276D9" w:rsidRPr="00830B5B" w:rsidRDefault="00830428" w:rsidP="008276D9">
            <w:pPr>
              <w:jc w:val="center"/>
              <w:rPr>
                <w:rFonts w:cs="Times New Roman"/>
                <w:b/>
                <w:sz w:val="24"/>
                <w:lang w:val="en-US"/>
              </w:rPr>
            </w:pPr>
            <w:r w:rsidRPr="00830B5B">
              <w:rPr>
                <w:rFonts w:cs="Times New Roman"/>
                <w:b/>
                <w:sz w:val="24"/>
                <w:lang w:val="en-US"/>
              </w:rPr>
              <w:t>5</w:t>
            </w:r>
          </w:p>
        </w:tc>
        <w:tc>
          <w:tcPr>
            <w:tcW w:w="1399" w:type="dxa"/>
          </w:tcPr>
          <w:p w14:paraId="7C77DE03" w14:textId="77777777" w:rsidR="00830428" w:rsidRPr="00830B5B" w:rsidRDefault="00830428" w:rsidP="00297B8A">
            <w:pPr>
              <w:jc w:val="left"/>
              <w:rPr>
                <w:rFonts w:cs="Times New Roman"/>
                <w:color w:val="000000"/>
                <w:spacing w:val="-2"/>
                <w:sz w:val="24"/>
                <w:lang w:val="en-US"/>
              </w:rPr>
            </w:pPr>
          </w:p>
          <w:p w14:paraId="1D8D2655" w14:textId="77777777" w:rsidR="00830428" w:rsidRPr="00830B5B" w:rsidRDefault="00830428" w:rsidP="00297B8A">
            <w:pPr>
              <w:jc w:val="left"/>
              <w:rPr>
                <w:rFonts w:cs="Times New Roman"/>
                <w:color w:val="000000"/>
                <w:spacing w:val="-2"/>
                <w:sz w:val="24"/>
                <w:lang w:val="en-US"/>
              </w:rPr>
            </w:pPr>
          </w:p>
          <w:p w14:paraId="4B044D7D" w14:textId="77777777" w:rsidR="00830428" w:rsidRPr="00830B5B" w:rsidRDefault="00830428" w:rsidP="00297B8A">
            <w:pPr>
              <w:jc w:val="left"/>
              <w:rPr>
                <w:rFonts w:cs="Times New Roman"/>
                <w:color w:val="000000"/>
                <w:spacing w:val="-2"/>
                <w:sz w:val="24"/>
                <w:lang w:val="en-US"/>
              </w:rPr>
            </w:pPr>
          </w:p>
          <w:p w14:paraId="4922C8BD" w14:textId="385C1E05" w:rsidR="008276D9" w:rsidRPr="00830B5B" w:rsidRDefault="008276D9" w:rsidP="00297B8A">
            <w:pPr>
              <w:jc w:val="left"/>
              <w:rPr>
                <w:rFonts w:cs="Times New Roman"/>
                <w:color w:val="000000"/>
                <w:spacing w:val="-2"/>
                <w:sz w:val="24"/>
                <w:lang w:val="en-US"/>
              </w:rPr>
            </w:pPr>
            <w:r w:rsidRPr="00830B5B">
              <w:rPr>
                <w:rFonts w:cs="Times New Roman"/>
                <w:color w:val="000000"/>
                <w:spacing w:val="-2"/>
                <w:sz w:val="24"/>
                <w:lang w:val="en-US"/>
              </w:rPr>
              <w:t>Về thù lao dịch vụ đấu giá</w:t>
            </w:r>
          </w:p>
        </w:tc>
        <w:tc>
          <w:tcPr>
            <w:tcW w:w="1530" w:type="dxa"/>
            <w:vAlign w:val="center"/>
          </w:tcPr>
          <w:p w14:paraId="7C71199F" w14:textId="4F697812" w:rsidR="008276D9" w:rsidRPr="00830B5B" w:rsidRDefault="008276D9" w:rsidP="008276D9">
            <w:pPr>
              <w:rPr>
                <w:rFonts w:cs="Times New Roman"/>
                <w:color w:val="000000"/>
                <w:spacing w:val="-2"/>
                <w:sz w:val="24"/>
              </w:rPr>
            </w:pPr>
            <w:r w:rsidRPr="00830B5B">
              <w:rPr>
                <w:rFonts w:cs="Times New Roman"/>
                <w:b/>
                <w:sz w:val="24"/>
                <w:lang w:val="en-US"/>
              </w:rPr>
              <w:t>Bộ Tư pháp</w:t>
            </w:r>
          </w:p>
        </w:tc>
        <w:tc>
          <w:tcPr>
            <w:tcW w:w="6300" w:type="dxa"/>
          </w:tcPr>
          <w:p w14:paraId="68723DC3" w14:textId="57AE6003" w:rsidR="008276D9" w:rsidRPr="00830B5B" w:rsidRDefault="008276D9" w:rsidP="008276D9">
            <w:pPr>
              <w:rPr>
                <w:rFonts w:cs="Times New Roman"/>
                <w:color w:val="000000"/>
                <w:sz w:val="24"/>
                <w:lang w:val="en-US"/>
              </w:rPr>
            </w:pPr>
            <w:r w:rsidRPr="00830B5B">
              <w:rPr>
                <w:rFonts w:cs="Times New Roman"/>
                <w:color w:val="000000"/>
                <w:spacing w:val="-2"/>
                <w:sz w:val="24"/>
              </w:rPr>
              <w:t xml:space="preserve">Điều 4 dự thảo Quyết định </w:t>
            </w:r>
            <w:r w:rsidRPr="00830B5B">
              <w:rPr>
                <w:rFonts w:cs="Times New Roman"/>
                <w:color w:val="000000"/>
                <w:spacing w:val="-2"/>
                <w:sz w:val="24"/>
                <w:lang w:val="en-US"/>
              </w:rPr>
              <w:t xml:space="preserve">không quy định </w:t>
            </w:r>
            <w:r w:rsidRPr="00830B5B">
              <w:rPr>
                <w:rFonts w:cs="Times New Roman"/>
                <w:color w:val="000000"/>
                <w:spacing w:val="-2"/>
                <w:sz w:val="24"/>
              </w:rPr>
              <w:t xml:space="preserve">thù lao dịch vụ đấu giá. </w:t>
            </w:r>
            <w:r w:rsidRPr="00830B5B">
              <w:rPr>
                <w:rFonts w:cs="Times New Roman"/>
                <w:color w:val="000000"/>
                <w:spacing w:val="-2"/>
                <w:sz w:val="24"/>
                <w:lang w:val="en-US"/>
              </w:rPr>
              <w:t xml:space="preserve">Căn cứ </w:t>
            </w:r>
            <w:r w:rsidRPr="00830B5B">
              <w:rPr>
                <w:rFonts w:cs="Times New Roman"/>
                <w:color w:val="000000"/>
                <w:spacing w:val="-2"/>
                <w:sz w:val="24"/>
              </w:rPr>
              <w:t xml:space="preserve">Điều 66 Luật Đấu giá tài sản quy định về thù lao dịch vụ và chi phí đấu giá tài sản, thì thù lao dịch vụ đấu giá được xác định theo cơ chế giá dịch vụ theo khung do Bộ Tài chính quy định. </w:t>
            </w:r>
            <w:r w:rsidRPr="00830B5B">
              <w:rPr>
                <w:rFonts w:cs="Times New Roman"/>
                <w:color w:val="000000"/>
                <w:spacing w:val="-2"/>
                <w:sz w:val="24"/>
                <w:lang w:val="en-US"/>
              </w:rPr>
              <w:t>Đ</w:t>
            </w:r>
            <w:r w:rsidRPr="00830B5B">
              <w:rPr>
                <w:rFonts w:cs="Times New Roman"/>
                <w:color w:val="000000"/>
                <w:spacing w:val="-2"/>
                <w:sz w:val="24"/>
              </w:rPr>
              <w:t>ề nghị chỉnh lý Điều 4 dự thảo Quyết định theo hướng dẫn chiếu đến Điều 66 Luật Đấu giá tài sản để đảm bảo đầy đủ, chính xác</w:t>
            </w:r>
            <w:r w:rsidRPr="00830B5B">
              <w:rPr>
                <w:rFonts w:cs="Times New Roman"/>
                <w:color w:val="000000"/>
                <w:spacing w:val="-2"/>
                <w:sz w:val="24"/>
                <w:lang w:val="en-US"/>
              </w:rPr>
              <w:t>.</w:t>
            </w:r>
          </w:p>
        </w:tc>
        <w:tc>
          <w:tcPr>
            <w:tcW w:w="5923" w:type="dxa"/>
          </w:tcPr>
          <w:p w14:paraId="01B85888" w14:textId="77777777" w:rsidR="008276D9" w:rsidRPr="00830B5B" w:rsidRDefault="008276D9" w:rsidP="008276D9">
            <w:pPr>
              <w:rPr>
                <w:rFonts w:cs="Times New Roman"/>
                <w:b/>
                <w:sz w:val="24"/>
                <w:lang w:val="en-US"/>
              </w:rPr>
            </w:pPr>
            <w:r w:rsidRPr="00830B5B">
              <w:rPr>
                <w:rFonts w:cs="Times New Roman"/>
                <w:b/>
                <w:sz w:val="24"/>
                <w:lang w:val="en-US"/>
              </w:rPr>
              <w:t>Tiếp thu</w:t>
            </w:r>
          </w:p>
          <w:p w14:paraId="18290218" w14:textId="77777777" w:rsidR="008276D9" w:rsidRPr="00830B5B" w:rsidRDefault="008276D9" w:rsidP="008276D9">
            <w:pPr>
              <w:rPr>
                <w:rFonts w:cs="Times New Roman"/>
                <w:b/>
                <w:sz w:val="24"/>
                <w:u w:val="single"/>
                <w:lang w:val="en-US"/>
              </w:rPr>
            </w:pPr>
            <w:r w:rsidRPr="00830B5B">
              <w:rPr>
                <w:rFonts w:cs="Times New Roman"/>
                <w:spacing w:val="-2"/>
                <w:sz w:val="24"/>
                <w:lang w:val="en-US"/>
              </w:rPr>
              <w:t>C</w:t>
            </w:r>
            <w:r w:rsidRPr="00830B5B">
              <w:rPr>
                <w:rFonts w:cs="Times New Roman"/>
                <w:spacing w:val="-2"/>
                <w:sz w:val="24"/>
              </w:rPr>
              <w:t>hỉnh lý Điều 4 dự thảo Quyết định theo hướng dẫn chiếu đến Điều 66 Luật Đấu giá tài sản</w:t>
            </w:r>
          </w:p>
          <w:p w14:paraId="78421E65" w14:textId="77777777" w:rsidR="008276D9" w:rsidRPr="00830B5B" w:rsidRDefault="008276D9" w:rsidP="008276D9">
            <w:pPr>
              <w:rPr>
                <w:rFonts w:cs="Times New Roman"/>
                <w:b/>
                <w:color w:val="FF0000"/>
                <w:sz w:val="24"/>
                <w:u w:val="single"/>
                <w:lang w:val="en-US"/>
              </w:rPr>
            </w:pPr>
          </w:p>
        </w:tc>
      </w:tr>
      <w:tr w:rsidR="00B77794" w:rsidRPr="00830B5B" w14:paraId="00EDBB18" w14:textId="77777777" w:rsidTr="00830B5B">
        <w:tc>
          <w:tcPr>
            <w:tcW w:w="671" w:type="dxa"/>
            <w:vMerge w:val="restart"/>
            <w:vAlign w:val="center"/>
          </w:tcPr>
          <w:p w14:paraId="3FD6671D" w14:textId="785AB40B" w:rsidR="00B77794" w:rsidRPr="00830B5B" w:rsidRDefault="000D4278" w:rsidP="008276D9">
            <w:pPr>
              <w:jc w:val="center"/>
              <w:rPr>
                <w:rFonts w:cs="Times New Roman"/>
                <w:b/>
                <w:sz w:val="24"/>
                <w:lang w:val="en-US"/>
              </w:rPr>
            </w:pPr>
            <w:r w:rsidRPr="00830B5B">
              <w:rPr>
                <w:rFonts w:cs="Times New Roman"/>
                <w:b/>
                <w:sz w:val="24"/>
                <w:lang w:val="en-US"/>
              </w:rPr>
              <w:lastRenderedPageBreak/>
              <w:t>6</w:t>
            </w:r>
          </w:p>
        </w:tc>
        <w:tc>
          <w:tcPr>
            <w:tcW w:w="1399" w:type="dxa"/>
            <w:vMerge w:val="restart"/>
          </w:tcPr>
          <w:p w14:paraId="7F1DA09A" w14:textId="77777777" w:rsidR="00B77794" w:rsidRPr="00830B5B" w:rsidRDefault="00B77794" w:rsidP="00297B8A">
            <w:pPr>
              <w:jc w:val="left"/>
              <w:rPr>
                <w:rFonts w:cs="Times New Roman"/>
                <w:color w:val="000000"/>
                <w:sz w:val="24"/>
                <w:lang w:val="en-US"/>
              </w:rPr>
            </w:pPr>
          </w:p>
          <w:p w14:paraId="2EA73F3D" w14:textId="77777777" w:rsidR="00B77794" w:rsidRPr="00830B5B" w:rsidRDefault="00B77794" w:rsidP="00297B8A">
            <w:pPr>
              <w:jc w:val="left"/>
              <w:rPr>
                <w:rFonts w:cs="Times New Roman"/>
                <w:color w:val="000000"/>
                <w:sz w:val="24"/>
                <w:lang w:val="en-US"/>
              </w:rPr>
            </w:pPr>
          </w:p>
          <w:p w14:paraId="6A2EE62A" w14:textId="2643FBF6" w:rsidR="00B77794" w:rsidRPr="00830B5B" w:rsidRDefault="00B77794" w:rsidP="00297B8A">
            <w:pPr>
              <w:jc w:val="left"/>
              <w:rPr>
                <w:rFonts w:cs="Times New Roman"/>
                <w:color w:val="000000"/>
                <w:sz w:val="24"/>
                <w:lang w:val="en-US"/>
              </w:rPr>
            </w:pPr>
            <w:r w:rsidRPr="00830B5B">
              <w:rPr>
                <w:rFonts w:cs="Times New Roman"/>
                <w:color w:val="000000"/>
                <w:sz w:val="24"/>
                <w:lang w:val="en-US"/>
              </w:rPr>
              <w:t>Về trường hợp không tổ chức đấu giá</w:t>
            </w:r>
          </w:p>
        </w:tc>
        <w:tc>
          <w:tcPr>
            <w:tcW w:w="1530" w:type="dxa"/>
            <w:vAlign w:val="center"/>
          </w:tcPr>
          <w:p w14:paraId="4694069A" w14:textId="1C301ED6" w:rsidR="00B77794" w:rsidRPr="00830B5B" w:rsidRDefault="00B77794" w:rsidP="008276D9">
            <w:pPr>
              <w:rPr>
                <w:rFonts w:cs="Times New Roman"/>
                <w:color w:val="000000"/>
                <w:sz w:val="24"/>
              </w:rPr>
            </w:pPr>
            <w:r w:rsidRPr="00830B5B">
              <w:rPr>
                <w:rFonts w:cs="Times New Roman"/>
                <w:b/>
                <w:sz w:val="24"/>
                <w:lang w:val="en-US"/>
              </w:rPr>
              <w:t>Bộ Tư pháp</w:t>
            </w:r>
          </w:p>
        </w:tc>
        <w:tc>
          <w:tcPr>
            <w:tcW w:w="6300" w:type="dxa"/>
          </w:tcPr>
          <w:p w14:paraId="3F6D65F4" w14:textId="1D6134C6" w:rsidR="00B77794" w:rsidRPr="00830B5B" w:rsidRDefault="00B77794" w:rsidP="008276D9">
            <w:pPr>
              <w:rPr>
                <w:rFonts w:cs="Times New Roman"/>
                <w:i/>
                <w:color w:val="000000"/>
                <w:sz w:val="24"/>
                <w:lang w:val="en-US"/>
              </w:rPr>
            </w:pPr>
            <w:r w:rsidRPr="00830B5B">
              <w:rPr>
                <w:rFonts w:cs="Times New Roman"/>
                <w:color w:val="000000"/>
                <w:sz w:val="24"/>
              </w:rPr>
              <w:t xml:space="preserve">Điều 10 dự thảo Quyết định quy định về trường hợp không tổ chức đấu giá. </w:t>
            </w:r>
            <w:r w:rsidRPr="00830B5B">
              <w:rPr>
                <w:rFonts w:cs="Times New Roman"/>
                <w:color w:val="000000"/>
                <w:sz w:val="24"/>
                <w:lang w:val="en-US"/>
              </w:rPr>
              <w:t xml:space="preserve">Theo </w:t>
            </w:r>
            <w:r w:rsidRPr="00830B5B">
              <w:rPr>
                <w:rFonts w:cs="Times New Roman"/>
                <w:color w:val="000000"/>
                <w:sz w:val="24"/>
              </w:rPr>
              <w:t xml:space="preserve">Điều 59 Luật Đấu giá tài sản thì việc đấu giá trong trường hợp chỉ có 01 người đăng ký tham gia đấu giá, 01 người tham gia đấu giá, 01 người trả giá cao nhất và ít nhất bằng giá khởi điểm không áp dụng đối với tài sản công theo quy định của pháp luật về quản lý, sử dụng tài sản công. </w:t>
            </w:r>
            <w:r w:rsidRPr="00830B5B">
              <w:rPr>
                <w:rFonts w:cs="Times New Roman"/>
                <w:color w:val="000000"/>
                <w:sz w:val="24"/>
                <w:lang w:val="en-US"/>
              </w:rPr>
              <w:t>Đ</w:t>
            </w:r>
            <w:r w:rsidRPr="00830B5B">
              <w:rPr>
                <w:rFonts w:cs="Times New Roman"/>
                <w:color w:val="000000"/>
                <w:sz w:val="24"/>
              </w:rPr>
              <w:t>ề nghị nghiên cứu quy định việc xử lý đối với trường hợp chỉ có 01 người đăng ký tham gia đấu giá, 01 người tham gia đấu giá, 01 người trả giá cao nhất và ít nhất bằng giá khởi điểm</w:t>
            </w:r>
            <w:r w:rsidRPr="00830B5B">
              <w:rPr>
                <w:rFonts w:cs="Times New Roman"/>
                <w:color w:val="000000"/>
                <w:sz w:val="24"/>
                <w:lang w:val="en-US"/>
              </w:rPr>
              <w:t>.</w:t>
            </w:r>
          </w:p>
        </w:tc>
        <w:tc>
          <w:tcPr>
            <w:tcW w:w="5923" w:type="dxa"/>
            <w:vMerge w:val="restart"/>
          </w:tcPr>
          <w:p w14:paraId="62ED1A5B" w14:textId="77777777" w:rsidR="00B77794" w:rsidRPr="00830B5B" w:rsidRDefault="00B77794" w:rsidP="008276D9">
            <w:pPr>
              <w:rPr>
                <w:rFonts w:cs="Times New Roman"/>
                <w:b/>
                <w:sz w:val="24"/>
                <w:lang w:val="en-US"/>
              </w:rPr>
            </w:pPr>
            <w:r w:rsidRPr="00830B5B">
              <w:rPr>
                <w:rFonts w:cs="Times New Roman"/>
                <w:b/>
                <w:sz w:val="24"/>
                <w:lang w:val="en-US"/>
              </w:rPr>
              <w:t>Tiếp thu</w:t>
            </w:r>
          </w:p>
          <w:p w14:paraId="7B31899A" w14:textId="77777777" w:rsidR="00B77794" w:rsidRPr="00830B5B" w:rsidRDefault="00B77794" w:rsidP="008276D9">
            <w:pPr>
              <w:rPr>
                <w:rFonts w:cs="Times New Roman"/>
                <w:b/>
                <w:sz w:val="24"/>
                <w:u w:val="single"/>
                <w:lang w:val="en-US"/>
              </w:rPr>
            </w:pPr>
            <w:r w:rsidRPr="00830B5B">
              <w:rPr>
                <w:rFonts w:cs="Times New Roman"/>
                <w:sz w:val="24"/>
                <w:lang w:val="en-US"/>
              </w:rPr>
              <w:t xml:space="preserve">Bổ sung </w:t>
            </w:r>
            <w:r w:rsidRPr="00830B5B">
              <w:rPr>
                <w:rFonts w:cs="Times New Roman"/>
                <w:color w:val="000000"/>
                <w:sz w:val="24"/>
              </w:rPr>
              <w:t xml:space="preserve">quy định việc </w:t>
            </w:r>
            <w:r w:rsidRPr="00830B5B">
              <w:rPr>
                <w:rFonts w:cs="Times New Roman"/>
                <w:color w:val="000000"/>
                <w:sz w:val="24"/>
                <w:lang w:val="en-US"/>
              </w:rPr>
              <w:t xml:space="preserve">không tổ chức đấu giá trong </w:t>
            </w:r>
            <w:r w:rsidRPr="00830B5B">
              <w:rPr>
                <w:rFonts w:cs="Times New Roman"/>
                <w:color w:val="000000"/>
                <w:sz w:val="24"/>
              </w:rPr>
              <w:t>trường hợp chỉ có 01 người đăng ký tham gia đấu giá, 01 người tham gia đấu giá, 01 người trả giá cao nhất và ít nhất bằng giá khởi điểm</w:t>
            </w:r>
            <w:r w:rsidRPr="00830B5B">
              <w:rPr>
                <w:rFonts w:cs="Times New Roman"/>
                <w:color w:val="000000"/>
                <w:sz w:val="24"/>
                <w:lang w:val="en-US"/>
              </w:rPr>
              <w:t xml:space="preserve">. </w:t>
            </w:r>
          </w:p>
          <w:p w14:paraId="3D18F14C" w14:textId="3678D853" w:rsidR="00B77794" w:rsidRPr="00830B5B" w:rsidRDefault="00B77794" w:rsidP="008276D9">
            <w:pPr>
              <w:rPr>
                <w:rFonts w:cs="Times New Roman"/>
                <w:b/>
                <w:sz w:val="24"/>
                <w:u w:val="single"/>
                <w:lang w:val="en-US"/>
              </w:rPr>
            </w:pPr>
            <w:r w:rsidRPr="00830B5B">
              <w:rPr>
                <w:rFonts w:cs="Times New Roman"/>
                <w:sz w:val="24"/>
                <w:lang w:val="en-US"/>
              </w:rPr>
              <w:t xml:space="preserve"> </w:t>
            </w:r>
          </w:p>
        </w:tc>
      </w:tr>
      <w:tr w:rsidR="00B77794" w:rsidRPr="00830B5B" w14:paraId="2ABAA9E9" w14:textId="77777777" w:rsidTr="00830B5B">
        <w:tc>
          <w:tcPr>
            <w:tcW w:w="671" w:type="dxa"/>
            <w:vMerge/>
            <w:vAlign w:val="center"/>
          </w:tcPr>
          <w:p w14:paraId="2633D297" w14:textId="77777777" w:rsidR="00B77794" w:rsidRPr="00830B5B" w:rsidRDefault="00B77794" w:rsidP="008276D9">
            <w:pPr>
              <w:jc w:val="center"/>
              <w:rPr>
                <w:rFonts w:cs="Times New Roman"/>
                <w:b/>
                <w:sz w:val="24"/>
                <w:lang w:val="en-US"/>
              </w:rPr>
            </w:pPr>
          </w:p>
        </w:tc>
        <w:tc>
          <w:tcPr>
            <w:tcW w:w="1399" w:type="dxa"/>
            <w:vMerge/>
          </w:tcPr>
          <w:p w14:paraId="2D22B676" w14:textId="77777777" w:rsidR="00B77794" w:rsidRPr="00830B5B" w:rsidRDefault="00B77794" w:rsidP="008276D9">
            <w:pPr>
              <w:rPr>
                <w:rFonts w:cs="Times New Roman"/>
                <w:color w:val="000000"/>
                <w:sz w:val="24"/>
                <w:lang w:val="en-US"/>
              </w:rPr>
            </w:pPr>
          </w:p>
        </w:tc>
        <w:tc>
          <w:tcPr>
            <w:tcW w:w="1530" w:type="dxa"/>
            <w:vAlign w:val="center"/>
          </w:tcPr>
          <w:p w14:paraId="27BE8AE9" w14:textId="36FF7EC3" w:rsidR="00B77794" w:rsidRPr="00830B5B" w:rsidRDefault="00B77794" w:rsidP="008276D9">
            <w:pPr>
              <w:rPr>
                <w:rFonts w:cs="Times New Roman"/>
                <w:b/>
                <w:sz w:val="24"/>
                <w:lang w:val="en-US"/>
              </w:rPr>
            </w:pPr>
            <w:r w:rsidRPr="00830B5B">
              <w:rPr>
                <w:rFonts w:cs="Times New Roman"/>
                <w:b/>
                <w:sz w:val="24"/>
                <w:lang w:val="en-US"/>
              </w:rPr>
              <w:t>Mobifone</w:t>
            </w:r>
          </w:p>
        </w:tc>
        <w:tc>
          <w:tcPr>
            <w:tcW w:w="6300" w:type="dxa"/>
          </w:tcPr>
          <w:p w14:paraId="53E3CF68" w14:textId="063EEC64" w:rsidR="00B77794" w:rsidRPr="00830B5B" w:rsidRDefault="00B77794" w:rsidP="008276D9">
            <w:pPr>
              <w:rPr>
                <w:rFonts w:cs="Times New Roman"/>
                <w:color w:val="000000"/>
                <w:sz w:val="24"/>
              </w:rPr>
            </w:pPr>
            <w:r w:rsidRPr="00830B5B">
              <w:rPr>
                <w:rFonts w:eastAsia="Arial" w:cs="Times New Roman"/>
                <w:sz w:val="24"/>
              </w:rPr>
              <w:t>Bổ sung Điều 10a:</w:t>
            </w:r>
            <w:r w:rsidRPr="00830B5B">
              <w:rPr>
                <w:rFonts w:eastAsia="Arial" w:cs="Times New Roman"/>
                <w:i/>
                <w:iCs/>
                <w:sz w:val="24"/>
              </w:rPr>
              <w:t xml:space="preserve"> </w:t>
            </w:r>
            <w:r w:rsidRPr="00830B5B">
              <w:rPr>
                <w:rFonts w:eastAsia="Arial" w:cs="Times New Roman"/>
                <w:bCs/>
                <w:color w:val="000000"/>
                <w:sz w:val="24"/>
                <w:lang w:val="vi-VN"/>
              </w:rPr>
              <w:t>Đấu giá trong trường hợp chỉ có một người đăng ký tham gia đấu giá, một người tham gia đấu giá, một người trả giá, một người chấp nhận giá</w:t>
            </w:r>
            <w:r w:rsidRPr="00830B5B">
              <w:rPr>
                <w:rFonts w:eastAsia="Arial" w:cs="Times New Roman"/>
                <w:bCs/>
                <w:color w:val="000000"/>
                <w:sz w:val="24"/>
              </w:rPr>
              <w:t>: Thực hiện theo quy định tại Điều 49 Luật Đấu giá tài sản</w:t>
            </w:r>
          </w:p>
        </w:tc>
        <w:tc>
          <w:tcPr>
            <w:tcW w:w="5923" w:type="dxa"/>
            <w:vMerge/>
          </w:tcPr>
          <w:p w14:paraId="65989C8D" w14:textId="2C2AA610" w:rsidR="00B77794" w:rsidRPr="00830B5B" w:rsidRDefault="00B77794" w:rsidP="008276D9">
            <w:pPr>
              <w:rPr>
                <w:rFonts w:cs="Times New Roman"/>
                <w:b/>
                <w:sz w:val="24"/>
                <w:lang w:val="en-US"/>
              </w:rPr>
            </w:pPr>
          </w:p>
        </w:tc>
      </w:tr>
      <w:tr w:rsidR="00636A73" w:rsidRPr="00830B5B" w14:paraId="4DFE840F" w14:textId="77777777" w:rsidTr="00830B5B">
        <w:tc>
          <w:tcPr>
            <w:tcW w:w="671" w:type="dxa"/>
            <w:vMerge w:val="restart"/>
            <w:vAlign w:val="center"/>
          </w:tcPr>
          <w:p w14:paraId="3B2F29F6" w14:textId="5A9CA0EF" w:rsidR="00636A73" w:rsidRPr="00830B5B" w:rsidRDefault="000D4278" w:rsidP="008276D9">
            <w:pPr>
              <w:jc w:val="center"/>
              <w:rPr>
                <w:rFonts w:cs="Times New Roman"/>
                <w:b/>
                <w:sz w:val="24"/>
                <w:lang w:val="en-US"/>
              </w:rPr>
            </w:pPr>
            <w:r w:rsidRPr="00830B5B">
              <w:rPr>
                <w:rFonts w:cs="Times New Roman"/>
                <w:b/>
                <w:sz w:val="24"/>
                <w:lang w:val="en-US"/>
              </w:rPr>
              <w:t>7</w:t>
            </w:r>
          </w:p>
        </w:tc>
        <w:tc>
          <w:tcPr>
            <w:tcW w:w="1399" w:type="dxa"/>
            <w:vMerge w:val="restart"/>
          </w:tcPr>
          <w:p w14:paraId="46540B9E" w14:textId="77777777" w:rsidR="00636A73" w:rsidRPr="00830B5B" w:rsidRDefault="00636A73" w:rsidP="00297B8A">
            <w:pPr>
              <w:jc w:val="left"/>
              <w:rPr>
                <w:rFonts w:cs="Times New Roman"/>
                <w:color w:val="000000"/>
                <w:sz w:val="24"/>
                <w:lang w:val="en-US"/>
              </w:rPr>
            </w:pPr>
          </w:p>
          <w:p w14:paraId="6396C797" w14:textId="77777777" w:rsidR="00636A73" w:rsidRPr="00830B5B" w:rsidRDefault="00636A73" w:rsidP="00297B8A">
            <w:pPr>
              <w:jc w:val="left"/>
              <w:rPr>
                <w:rFonts w:cs="Times New Roman"/>
                <w:b/>
                <w:color w:val="000000"/>
                <w:sz w:val="24"/>
                <w:lang w:val="en-US"/>
              </w:rPr>
            </w:pPr>
          </w:p>
          <w:p w14:paraId="2A73D92D" w14:textId="77777777" w:rsidR="00636A73" w:rsidRPr="00830B5B" w:rsidRDefault="00636A73" w:rsidP="00297B8A">
            <w:pPr>
              <w:jc w:val="left"/>
              <w:rPr>
                <w:rFonts w:cs="Times New Roman"/>
                <w:color w:val="000000"/>
                <w:sz w:val="24"/>
                <w:lang w:val="en-US"/>
              </w:rPr>
            </w:pPr>
          </w:p>
          <w:p w14:paraId="67451124" w14:textId="015177A8" w:rsidR="00636A73" w:rsidRPr="00830B5B" w:rsidRDefault="00636A73" w:rsidP="00297B8A">
            <w:pPr>
              <w:jc w:val="left"/>
              <w:rPr>
                <w:rFonts w:cs="Times New Roman"/>
                <w:b/>
                <w:color w:val="000000"/>
                <w:sz w:val="24"/>
                <w:lang w:val="en-US"/>
              </w:rPr>
            </w:pPr>
            <w:r w:rsidRPr="00830B5B">
              <w:rPr>
                <w:rFonts w:cs="Times New Roman"/>
                <w:color w:val="000000"/>
                <w:sz w:val="24"/>
                <w:lang w:val="en-US"/>
              </w:rPr>
              <w:t>Về tổ chức đấu giá lại</w:t>
            </w:r>
            <w:r w:rsidRPr="00830B5B">
              <w:rPr>
                <w:rFonts w:cs="Times New Roman"/>
                <w:b/>
                <w:color w:val="000000"/>
                <w:sz w:val="24"/>
                <w:lang w:val="en-US"/>
              </w:rPr>
              <w:t xml:space="preserve"> </w:t>
            </w:r>
          </w:p>
        </w:tc>
        <w:tc>
          <w:tcPr>
            <w:tcW w:w="1530" w:type="dxa"/>
            <w:vAlign w:val="center"/>
          </w:tcPr>
          <w:p w14:paraId="7AF289D5" w14:textId="7D1BB87A" w:rsidR="00636A73" w:rsidRPr="00830B5B" w:rsidRDefault="00636A73" w:rsidP="008276D9">
            <w:pPr>
              <w:rPr>
                <w:rFonts w:cs="Times New Roman"/>
                <w:color w:val="000000"/>
                <w:sz w:val="24"/>
                <w:lang w:val="en-US"/>
              </w:rPr>
            </w:pPr>
            <w:r w:rsidRPr="00830B5B">
              <w:rPr>
                <w:rFonts w:cs="Times New Roman"/>
                <w:b/>
                <w:sz w:val="24"/>
                <w:lang w:val="en-US"/>
              </w:rPr>
              <w:t>Bộ Tư pháp</w:t>
            </w:r>
          </w:p>
        </w:tc>
        <w:tc>
          <w:tcPr>
            <w:tcW w:w="6300" w:type="dxa"/>
          </w:tcPr>
          <w:p w14:paraId="3DA8D9BE" w14:textId="65703185" w:rsidR="00636A73" w:rsidRPr="00830B5B" w:rsidRDefault="00636A73" w:rsidP="008276D9">
            <w:pPr>
              <w:rPr>
                <w:rFonts w:cs="Times New Roman"/>
                <w:color w:val="000000"/>
                <w:sz w:val="24"/>
              </w:rPr>
            </w:pPr>
            <w:r w:rsidRPr="00830B5B">
              <w:rPr>
                <w:rFonts w:cs="Times New Roman"/>
                <w:color w:val="000000"/>
                <w:sz w:val="24"/>
                <w:lang w:val="en-US"/>
              </w:rPr>
              <w:t>Đ</w:t>
            </w:r>
            <w:r w:rsidRPr="00830B5B">
              <w:rPr>
                <w:rFonts w:cs="Times New Roman"/>
                <w:color w:val="000000"/>
                <w:sz w:val="24"/>
              </w:rPr>
              <w:t>ề nghị rà soát</w:t>
            </w:r>
            <w:r w:rsidRPr="00830B5B">
              <w:rPr>
                <w:rFonts w:cs="Times New Roman"/>
                <w:color w:val="000000"/>
                <w:sz w:val="24"/>
                <w:lang w:val="en-US"/>
              </w:rPr>
              <w:t xml:space="preserve"> k</w:t>
            </w:r>
            <w:r w:rsidRPr="00830B5B">
              <w:rPr>
                <w:rFonts w:cs="Times New Roman"/>
                <w:color w:val="000000"/>
                <w:sz w:val="24"/>
              </w:rPr>
              <w:t xml:space="preserve">hoản 1 Điều 11 dự thảo Quyết định, bổ sung trường hợp tổ chức đấu giá lại gồm 03 trường hợp: (1) không tổ chức đấu giá được; (2) đấu giá không thành (dẫn chiếu đến khoản 1 Điều 52 Luật Đấu giá tài sản; (3) người trúng đấu giá không nộp tiền trúng đấu giá. </w:t>
            </w:r>
          </w:p>
          <w:p w14:paraId="11B63128" w14:textId="77777777" w:rsidR="00636A73" w:rsidRPr="00830B5B" w:rsidRDefault="00636A73" w:rsidP="008276D9">
            <w:pPr>
              <w:rPr>
                <w:rFonts w:cs="Times New Roman"/>
                <w:i/>
                <w:color w:val="000000"/>
                <w:sz w:val="24"/>
              </w:rPr>
            </w:pPr>
            <w:r w:rsidRPr="00830B5B">
              <w:rPr>
                <w:rFonts w:cs="Times New Roman"/>
                <w:color w:val="000000"/>
                <w:sz w:val="24"/>
              </w:rPr>
              <w:t>Tại khoản 2 Điều 11 dự thảo Quyết định, đề nghị quy định rõ sau bao nhiêu lần giảm giá mà đấu giá không thành thì sẽ chuyển sang hình thức khác để đảm bảo tính hiệu quả của việc xử lý tài sản.</w:t>
            </w:r>
          </w:p>
        </w:tc>
        <w:tc>
          <w:tcPr>
            <w:tcW w:w="5923" w:type="dxa"/>
            <w:vMerge w:val="restart"/>
          </w:tcPr>
          <w:p w14:paraId="024CB3FF" w14:textId="4F7C641A" w:rsidR="001C3C8F" w:rsidRPr="00830B5B" w:rsidRDefault="00BA4248" w:rsidP="00DD3A51">
            <w:pPr>
              <w:spacing w:before="40" w:line="264" w:lineRule="auto"/>
              <w:rPr>
                <w:rFonts w:cs="Times New Roman"/>
                <w:b/>
                <w:bCs/>
                <w:sz w:val="24"/>
                <w:lang w:val="en-US"/>
              </w:rPr>
            </w:pPr>
            <w:r w:rsidRPr="00830B5B">
              <w:rPr>
                <w:rFonts w:cs="Times New Roman"/>
                <w:b/>
                <w:bCs/>
                <w:sz w:val="24"/>
                <w:lang w:val="en-US"/>
              </w:rPr>
              <w:t>Tiếp thu một phần</w:t>
            </w:r>
          </w:p>
          <w:p w14:paraId="56679927" w14:textId="77777777" w:rsidR="00493563" w:rsidRPr="00301503" w:rsidRDefault="00493563" w:rsidP="00493563">
            <w:pPr>
              <w:spacing w:before="40" w:line="264" w:lineRule="auto"/>
              <w:ind w:firstLine="850"/>
            </w:pPr>
            <w:r>
              <w:rPr>
                <w:sz w:val="27"/>
                <w:szCs w:val="27"/>
              </w:rPr>
              <w:t>Dự thảo cụ thể hóa thêm một số</w:t>
            </w:r>
            <w:r w:rsidRPr="00630183">
              <w:rPr>
                <w:sz w:val="27"/>
                <w:szCs w:val="27"/>
                <w:lang w:val="nl-NL"/>
              </w:rPr>
              <w:t xml:space="preserve"> quy định tại Khoản 1 Điều 52 Luật Đấu giá tài sản</w:t>
            </w:r>
            <w:r>
              <w:rPr>
                <w:sz w:val="27"/>
                <w:szCs w:val="27"/>
                <w:lang w:val="nl-NL"/>
              </w:rPr>
              <w:t xml:space="preserve"> như</w:t>
            </w:r>
            <w:r w:rsidRPr="00630183">
              <w:rPr>
                <w:sz w:val="27"/>
                <w:szCs w:val="27"/>
                <w:lang w:val="nl-NL"/>
              </w:rPr>
              <w:t xml:space="preserve">: </w:t>
            </w:r>
            <w:r w:rsidRPr="00630183">
              <w:rPr>
                <w:lang w:val="nl-NL"/>
              </w:rPr>
              <w:t>không có người tham gia đấu giá nào nộp Hồ sơ tham gia đấu giá hoặc s</w:t>
            </w:r>
            <w:r w:rsidRPr="00630183">
              <w:t xml:space="preserve">ố lượng người nộp hồ sơ tham gia đấu giá hoặc số lượng người đủ điều kiện tham gia đấu giá hoặc số lượng người tham gia trả giá ít hơn hai; </w:t>
            </w:r>
            <w:r w:rsidRPr="00630183">
              <w:rPr>
                <w:lang w:val="nl-NL"/>
              </w:rPr>
              <w:t>tất cả người trúng đấu giá bị hủy kết quả đấu giá hoặc tất cả người tham gia đấu giá trả giá thấp hơn giá khởi điểm</w:t>
            </w:r>
            <w:r>
              <w:rPr>
                <w:lang w:val="nl-NL"/>
              </w:rPr>
              <w:t>. Ngoài ra, dự thảo đưa vào thêm những nội dung có tính chất đặc thù như:</w:t>
            </w:r>
            <w:r w:rsidRPr="00952C07">
              <w:rPr>
                <w:sz w:val="27"/>
                <w:szCs w:val="27"/>
                <w:lang w:val="nl-NL"/>
              </w:rPr>
              <w:t xml:space="preserve"> </w:t>
            </w:r>
            <w:r w:rsidRPr="005D5C49">
              <w:rPr>
                <w:sz w:val="27"/>
                <w:szCs w:val="27"/>
                <w:lang w:val="nl-NL"/>
              </w:rPr>
              <w:t xml:space="preserve">tên miền </w:t>
            </w:r>
            <w:r w:rsidRPr="005B32DF">
              <w:rPr>
                <w:sz w:val="27"/>
                <w:szCs w:val="27"/>
                <w:lang w:val="nl-NL"/>
              </w:rPr>
              <w:t xml:space="preserve">đã được đấu giá nhưng tổ chức, cá nhân trúng đấu giá không nộp tiền trúng đấu giá; Tên miền đã được đấu giá nhưng tổ chức, cá nhân trúng đấu giá không </w:t>
            </w:r>
            <w:r w:rsidRPr="005B32DF">
              <w:rPr>
                <w:sz w:val="27"/>
                <w:szCs w:val="27"/>
              </w:rPr>
              <w:t xml:space="preserve">hoàn tất </w:t>
            </w:r>
            <w:r w:rsidRPr="005B32DF">
              <w:rPr>
                <w:sz w:val="27"/>
                <w:szCs w:val="27"/>
              </w:rPr>
              <w:lastRenderedPageBreak/>
              <w:t>thủ tục đăng ký sử dụng tên miền theo quy định;</w:t>
            </w:r>
            <w:r w:rsidRPr="005B32DF">
              <w:rPr>
                <w:sz w:val="27"/>
                <w:szCs w:val="27"/>
                <w:lang w:val="nl-NL"/>
              </w:rPr>
              <w:t xml:space="preserve"> </w:t>
            </w:r>
            <w:r w:rsidRPr="00952C07">
              <w:rPr>
                <w:sz w:val="27"/>
                <w:szCs w:val="27"/>
                <w:lang w:val="nl-NL"/>
              </w:rPr>
              <w:t xml:space="preserve">tên </w:t>
            </w:r>
            <w:r>
              <w:rPr>
                <w:sz w:val="27"/>
                <w:szCs w:val="27"/>
                <w:lang w:val="nl-NL"/>
              </w:rPr>
              <w:t>miền đấu giá đã được đăng ký sử dụng nhưng chủ thể không tiếp tục nộp phí duy trì sử dụng khi tên miền hết hạn sử dụng theo quy định.</w:t>
            </w:r>
          </w:p>
          <w:p w14:paraId="5F6B5A43" w14:textId="77777777" w:rsidR="00493563" w:rsidRPr="00470AB8" w:rsidRDefault="00493563" w:rsidP="00493563">
            <w:pPr>
              <w:spacing w:before="80" w:line="288" w:lineRule="auto"/>
              <w:ind w:firstLine="720"/>
              <w:rPr>
                <w:sz w:val="27"/>
                <w:szCs w:val="27"/>
              </w:rPr>
            </w:pPr>
            <w:r>
              <w:rPr>
                <w:sz w:val="27"/>
                <w:szCs w:val="27"/>
                <w:lang w:val="nl-NL"/>
              </w:rPr>
              <w:t>Đ</w:t>
            </w:r>
            <w:r w:rsidRPr="00E1370C">
              <w:rPr>
                <w:sz w:val="27"/>
                <w:szCs w:val="27"/>
                <w:lang w:val="nl-NL"/>
              </w:rPr>
              <w:t>ể giảm thời gian và chi phí trong hoạt động tổ chức đấu giá</w:t>
            </w:r>
            <w:r>
              <w:rPr>
                <w:sz w:val="27"/>
                <w:szCs w:val="27"/>
                <w:lang w:val="nl-NL"/>
              </w:rPr>
              <w:t>, dự thảo cũng quy định việc g</w:t>
            </w:r>
            <w:r w:rsidRPr="00470AB8">
              <w:rPr>
                <w:spacing w:val="-2"/>
                <w:sz w:val="27"/>
                <w:szCs w:val="27"/>
                <w:lang w:val="vi-VN"/>
              </w:rPr>
              <w:t xml:space="preserve">iảm </w:t>
            </w:r>
            <w:r w:rsidRPr="00470AB8">
              <w:rPr>
                <w:spacing w:val="-2"/>
                <w:sz w:val="27"/>
                <w:szCs w:val="27"/>
              </w:rPr>
              <w:t xml:space="preserve">giá khởi điểm của mã, số viễn thông </w:t>
            </w:r>
            <w:r w:rsidRPr="00470AB8">
              <w:rPr>
                <w:spacing w:val="-2"/>
                <w:sz w:val="27"/>
                <w:szCs w:val="27"/>
                <w:lang w:val="vi-VN"/>
              </w:rPr>
              <w:t xml:space="preserve">để đấu giá lại </w:t>
            </w:r>
            <w:r>
              <w:rPr>
                <w:spacing w:val="-2"/>
                <w:sz w:val="27"/>
                <w:szCs w:val="27"/>
              </w:rPr>
              <w:t xml:space="preserve">(không quá 02 lần) </w:t>
            </w:r>
            <w:r w:rsidRPr="00470AB8">
              <w:rPr>
                <w:spacing w:val="-2"/>
                <w:sz w:val="27"/>
                <w:szCs w:val="27"/>
                <w:lang w:val="vi-VN"/>
              </w:rPr>
              <w:t xml:space="preserve">theo nguyên tắc mỗi lần giảm giá </w:t>
            </w:r>
            <w:r>
              <w:rPr>
                <w:spacing w:val="-2"/>
                <w:sz w:val="27"/>
                <w:szCs w:val="27"/>
              </w:rPr>
              <w:t xml:space="preserve">khởi điểm </w:t>
            </w:r>
            <w:r w:rsidRPr="00470AB8">
              <w:rPr>
                <w:spacing w:val="-2"/>
                <w:sz w:val="27"/>
                <w:szCs w:val="27"/>
                <w:lang w:val="vi-VN"/>
              </w:rPr>
              <w:t xml:space="preserve">không quá 10% của </w:t>
            </w:r>
            <w:r w:rsidRPr="00470AB8">
              <w:rPr>
                <w:spacing w:val="-2"/>
                <w:sz w:val="27"/>
                <w:szCs w:val="27"/>
              </w:rPr>
              <w:t xml:space="preserve">giá khởi điểm </w:t>
            </w:r>
            <w:r w:rsidRPr="00470AB8">
              <w:rPr>
                <w:spacing w:val="-2"/>
                <w:sz w:val="27"/>
                <w:szCs w:val="27"/>
                <w:lang w:val="vi-VN"/>
              </w:rPr>
              <w:t>của lần trước liền kề</w:t>
            </w:r>
            <w:r>
              <w:rPr>
                <w:spacing w:val="-2"/>
                <w:sz w:val="27"/>
                <w:szCs w:val="27"/>
              </w:rPr>
              <w:t xml:space="preserve">. </w:t>
            </w:r>
          </w:p>
          <w:p w14:paraId="3109EE76" w14:textId="365FF1A7" w:rsidR="00AB3E85" w:rsidRPr="00830B5B" w:rsidRDefault="00AB3E85" w:rsidP="00AB3E85">
            <w:pPr>
              <w:spacing w:before="40" w:line="264" w:lineRule="auto"/>
              <w:rPr>
                <w:rFonts w:cs="Times New Roman"/>
                <w:color w:val="FF0000"/>
                <w:sz w:val="24"/>
                <w:lang w:val="en-US"/>
              </w:rPr>
            </w:pPr>
            <w:r w:rsidRPr="00830B5B">
              <w:rPr>
                <w:rFonts w:cs="Times New Roman"/>
                <w:sz w:val="24"/>
                <w:lang w:val="en-US"/>
              </w:rPr>
              <w:t>Bộ TT&amp;TT đã sửa lại tên điều 11 cho phù hợp Luật đấu giá tài sả</w:t>
            </w:r>
            <w:r w:rsidR="0046720E" w:rsidRPr="00830B5B">
              <w:rPr>
                <w:rFonts w:cs="Times New Roman"/>
                <w:sz w:val="24"/>
                <w:lang w:val="en-US"/>
              </w:rPr>
              <w:t xml:space="preserve">n tại </w:t>
            </w:r>
            <w:r w:rsidRPr="00830B5B">
              <w:rPr>
                <w:rFonts w:cs="Times New Roman"/>
                <w:sz w:val="24"/>
                <w:lang w:val="en-US"/>
              </w:rPr>
              <w:t xml:space="preserve">Điều 11: Xử lý trường hợp đấu giá không thành. </w:t>
            </w:r>
          </w:p>
          <w:p w14:paraId="32464CD6" w14:textId="3DDEDFEE" w:rsidR="00636A73" w:rsidRPr="00830B5B" w:rsidRDefault="00636A73" w:rsidP="00AB3E85">
            <w:pPr>
              <w:rPr>
                <w:rFonts w:cs="Times New Roman"/>
                <w:b/>
                <w:sz w:val="24"/>
                <w:lang w:val="en-US"/>
              </w:rPr>
            </w:pPr>
          </w:p>
        </w:tc>
      </w:tr>
      <w:tr w:rsidR="00636A73" w:rsidRPr="00830B5B" w14:paraId="5974076B" w14:textId="77777777" w:rsidTr="00830B5B">
        <w:tc>
          <w:tcPr>
            <w:tcW w:w="671" w:type="dxa"/>
            <w:vMerge/>
            <w:vAlign w:val="center"/>
          </w:tcPr>
          <w:p w14:paraId="114A71CB" w14:textId="74584341" w:rsidR="00636A73" w:rsidRPr="00830B5B" w:rsidRDefault="00636A73" w:rsidP="000E6F25">
            <w:pPr>
              <w:jc w:val="center"/>
              <w:rPr>
                <w:rFonts w:cs="Times New Roman"/>
                <w:b/>
                <w:sz w:val="24"/>
                <w:lang w:val="en-US"/>
              </w:rPr>
            </w:pPr>
          </w:p>
        </w:tc>
        <w:tc>
          <w:tcPr>
            <w:tcW w:w="1399" w:type="dxa"/>
            <w:vMerge/>
          </w:tcPr>
          <w:p w14:paraId="6FFC3057" w14:textId="77777777" w:rsidR="00636A73" w:rsidRPr="00830B5B" w:rsidRDefault="00636A73" w:rsidP="00297B8A">
            <w:pPr>
              <w:jc w:val="left"/>
              <w:rPr>
                <w:rFonts w:cs="Times New Roman"/>
                <w:color w:val="000000"/>
                <w:sz w:val="24"/>
                <w:lang w:val="en-US"/>
              </w:rPr>
            </w:pPr>
          </w:p>
        </w:tc>
        <w:tc>
          <w:tcPr>
            <w:tcW w:w="1530" w:type="dxa"/>
            <w:vAlign w:val="center"/>
          </w:tcPr>
          <w:p w14:paraId="38D77144" w14:textId="23B99999" w:rsidR="00636A73" w:rsidRPr="00830B5B" w:rsidRDefault="00636A73" w:rsidP="00592FF0">
            <w:pPr>
              <w:jc w:val="left"/>
              <w:rPr>
                <w:rFonts w:cs="Times New Roman"/>
                <w:b/>
                <w:sz w:val="24"/>
                <w:lang w:val="en-US"/>
              </w:rPr>
            </w:pPr>
            <w:r w:rsidRPr="00830B5B">
              <w:rPr>
                <w:rFonts w:cs="Times New Roman"/>
                <w:b/>
                <w:sz w:val="24"/>
                <w:lang w:val="en-US"/>
              </w:rPr>
              <w:t>Bộ Tài chính</w:t>
            </w:r>
          </w:p>
        </w:tc>
        <w:tc>
          <w:tcPr>
            <w:tcW w:w="6300" w:type="dxa"/>
          </w:tcPr>
          <w:p w14:paraId="3C211AB1" w14:textId="1D42B5A7" w:rsidR="00636A73" w:rsidRPr="00830B5B" w:rsidRDefault="00636A73" w:rsidP="000E6F25">
            <w:pPr>
              <w:rPr>
                <w:rFonts w:cs="Times New Roman"/>
                <w:color w:val="000000"/>
                <w:sz w:val="24"/>
                <w:lang w:val="en-US"/>
              </w:rPr>
            </w:pPr>
            <w:r w:rsidRPr="00830B5B">
              <w:rPr>
                <w:rFonts w:cs="Times New Roman"/>
                <w:sz w:val="24"/>
                <w:lang w:val="nl-NL"/>
              </w:rPr>
              <w:t xml:space="preserve">Theo quy định tại khoản 1 Điều 11 dự thảo đều có thể xem xét, quyết định việc giảm giá khởi điểm (không quá 10%). Việc quy định “cứng” giảm giá khởi điểm sẽ dễ tạo cơ sở cho việc thông đồng để dìm giá. </w:t>
            </w:r>
          </w:p>
        </w:tc>
        <w:tc>
          <w:tcPr>
            <w:tcW w:w="5923" w:type="dxa"/>
            <w:vMerge/>
          </w:tcPr>
          <w:p w14:paraId="5D09BBBC" w14:textId="49C8FF43" w:rsidR="00636A73" w:rsidRPr="00830B5B" w:rsidRDefault="00636A73" w:rsidP="000E6F25">
            <w:pPr>
              <w:rPr>
                <w:rFonts w:cs="Times New Roman"/>
                <w:b/>
                <w:sz w:val="24"/>
                <w:lang w:val="en-US"/>
              </w:rPr>
            </w:pPr>
          </w:p>
        </w:tc>
      </w:tr>
      <w:tr w:rsidR="000E6F25" w:rsidRPr="00830B5B" w14:paraId="2B710E8A" w14:textId="77777777" w:rsidTr="00830B5B">
        <w:tc>
          <w:tcPr>
            <w:tcW w:w="671" w:type="dxa"/>
            <w:vAlign w:val="center"/>
          </w:tcPr>
          <w:p w14:paraId="381D16E1" w14:textId="60E996B9" w:rsidR="000E6F25" w:rsidRPr="00830B5B" w:rsidRDefault="000D4278" w:rsidP="000E6F25">
            <w:pPr>
              <w:jc w:val="center"/>
              <w:rPr>
                <w:rFonts w:cs="Times New Roman"/>
                <w:b/>
                <w:sz w:val="24"/>
                <w:lang w:val="en-US"/>
              </w:rPr>
            </w:pPr>
            <w:r w:rsidRPr="00830B5B">
              <w:rPr>
                <w:rFonts w:cs="Times New Roman"/>
                <w:b/>
                <w:sz w:val="24"/>
                <w:lang w:val="en-US"/>
              </w:rPr>
              <w:t>8</w:t>
            </w:r>
          </w:p>
        </w:tc>
        <w:tc>
          <w:tcPr>
            <w:tcW w:w="1399" w:type="dxa"/>
          </w:tcPr>
          <w:p w14:paraId="69BA51CC" w14:textId="5BEAA0E1" w:rsidR="000E6F25" w:rsidRPr="00830B5B" w:rsidRDefault="000E6F25" w:rsidP="00297B8A">
            <w:pPr>
              <w:jc w:val="left"/>
              <w:rPr>
                <w:rFonts w:cs="Times New Roman"/>
                <w:color w:val="000000"/>
                <w:sz w:val="24"/>
                <w:lang w:val="en-US"/>
              </w:rPr>
            </w:pPr>
            <w:r w:rsidRPr="00830B5B">
              <w:rPr>
                <w:rFonts w:cs="Times New Roman"/>
                <w:color w:val="000000"/>
                <w:sz w:val="24"/>
                <w:lang w:val="en-US"/>
              </w:rPr>
              <w:t>Về điều kiện tham gia đấu giá</w:t>
            </w:r>
          </w:p>
        </w:tc>
        <w:tc>
          <w:tcPr>
            <w:tcW w:w="1530" w:type="dxa"/>
            <w:vAlign w:val="center"/>
          </w:tcPr>
          <w:p w14:paraId="72F4C0F1" w14:textId="2B811E20" w:rsidR="000E6F25" w:rsidRPr="00830B5B" w:rsidRDefault="000E6F25" w:rsidP="000E6F25">
            <w:pPr>
              <w:rPr>
                <w:rFonts w:cs="Times New Roman"/>
                <w:color w:val="000000"/>
                <w:sz w:val="24"/>
                <w:lang w:val="en-US"/>
              </w:rPr>
            </w:pPr>
            <w:r w:rsidRPr="00830B5B">
              <w:rPr>
                <w:rFonts w:cs="Times New Roman"/>
                <w:b/>
                <w:sz w:val="24"/>
                <w:lang w:val="en-US"/>
              </w:rPr>
              <w:t>Bộ Tư pháp</w:t>
            </w:r>
          </w:p>
        </w:tc>
        <w:tc>
          <w:tcPr>
            <w:tcW w:w="6300" w:type="dxa"/>
          </w:tcPr>
          <w:p w14:paraId="56DE8FFB" w14:textId="5D5920E8" w:rsidR="000E6F25" w:rsidRPr="00830B5B" w:rsidRDefault="000E6F25" w:rsidP="000E6F25">
            <w:pPr>
              <w:rPr>
                <w:rFonts w:cs="Times New Roman"/>
                <w:i/>
                <w:color w:val="000000"/>
                <w:sz w:val="24"/>
              </w:rPr>
            </w:pPr>
            <w:r w:rsidRPr="00830B5B">
              <w:rPr>
                <w:rFonts w:cs="Times New Roman"/>
                <w:color w:val="000000"/>
                <w:sz w:val="24"/>
                <w:lang w:val="en-US"/>
              </w:rPr>
              <w:t xml:space="preserve">Đề nghị </w:t>
            </w:r>
            <w:r w:rsidRPr="00830B5B">
              <w:rPr>
                <w:rFonts w:cs="Times New Roman"/>
                <w:color w:val="000000"/>
                <w:sz w:val="24"/>
              </w:rPr>
              <w:t xml:space="preserve">quy định cụ thể, đầy đủ các điều kiện tham gia đấu giá đối với cá nhân tham gia đấu giá, điều kiện đối với tổ chức tham gia đấu giá </w:t>
            </w:r>
            <w:r w:rsidRPr="00830B5B">
              <w:rPr>
                <w:rFonts w:cs="Times New Roman"/>
                <w:color w:val="000000"/>
                <w:sz w:val="24"/>
                <w:lang w:val="en-US"/>
              </w:rPr>
              <w:t xml:space="preserve">tại </w:t>
            </w:r>
            <w:r w:rsidRPr="00830B5B">
              <w:rPr>
                <w:rFonts w:cs="Times New Roman"/>
                <w:color w:val="000000"/>
                <w:sz w:val="24"/>
              </w:rPr>
              <w:t xml:space="preserve">Điều 14 dự thảo Quyết định </w:t>
            </w:r>
          </w:p>
        </w:tc>
        <w:tc>
          <w:tcPr>
            <w:tcW w:w="5923" w:type="dxa"/>
          </w:tcPr>
          <w:p w14:paraId="33466800" w14:textId="77777777" w:rsidR="000E6F25" w:rsidRPr="00830B5B" w:rsidRDefault="000E6F25" w:rsidP="000E6F25">
            <w:pPr>
              <w:rPr>
                <w:rFonts w:cs="Times New Roman"/>
                <w:b/>
                <w:sz w:val="24"/>
                <w:lang w:val="en-US"/>
              </w:rPr>
            </w:pPr>
            <w:r w:rsidRPr="00830B5B">
              <w:rPr>
                <w:rFonts w:cs="Times New Roman"/>
                <w:b/>
                <w:sz w:val="24"/>
                <w:lang w:val="en-US"/>
              </w:rPr>
              <w:t>Tiếp thu</w:t>
            </w:r>
          </w:p>
          <w:p w14:paraId="2F109D58" w14:textId="77777777" w:rsidR="000E6F25" w:rsidRPr="00830B5B" w:rsidRDefault="000E6F25" w:rsidP="000E6F25">
            <w:pPr>
              <w:rPr>
                <w:rFonts w:cs="Times New Roman"/>
                <w:b/>
                <w:sz w:val="24"/>
                <w:u w:val="single"/>
                <w:lang w:val="en-US"/>
              </w:rPr>
            </w:pPr>
            <w:r w:rsidRPr="00830B5B">
              <w:rPr>
                <w:rFonts w:cs="Times New Roman"/>
                <w:color w:val="000000"/>
                <w:sz w:val="24"/>
                <w:lang w:val="en-US"/>
              </w:rPr>
              <w:t xml:space="preserve">Quy định cụ thể </w:t>
            </w:r>
            <w:r w:rsidRPr="00830B5B">
              <w:rPr>
                <w:rFonts w:cs="Times New Roman"/>
                <w:color w:val="000000"/>
                <w:sz w:val="24"/>
              </w:rPr>
              <w:t>điều kiện đối với cá nhân tham gia đấu giá, điều kiện đối với tổ chức tham gia đấu giá</w:t>
            </w:r>
            <w:r w:rsidRPr="00830B5B">
              <w:rPr>
                <w:rFonts w:cs="Times New Roman"/>
                <w:color w:val="000000"/>
                <w:sz w:val="24"/>
                <w:lang w:val="en-US"/>
              </w:rPr>
              <w:t>.</w:t>
            </w:r>
          </w:p>
        </w:tc>
      </w:tr>
      <w:tr w:rsidR="000E6F25" w:rsidRPr="00830B5B" w14:paraId="1899D2DE" w14:textId="77777777" w:rsidTr="00830B5B">
        <w:tc>
          <w:tcPr>
            <w:tcW w:w="671" w:type="dxa"/>
            <w:vAlign w:val="center"/>
          </w:tcPr>
          <w:p w14:paraId="2B47883F" w14:textId="76EA86B0" w:rsidR="000E6F25" w:rsidRPr="00830B5B" w:rsidRDefault="000D4278" w:rsidP="000E6F25">
            <w:pPr>
              <w:jc w:val="center"/>
              <w:rPr>
                <w:rFonts w:cs="Times New Roman"/>
                <w:b/>
                <w:sz w:val="24"/>
                <w:lang w:val="en-US"/>
              </w:rPr>
            </w:pPr>
            <w:r w:rsidRPr="00830B5B">
              <w:rPr>
                <w:rFonts w:cs="Times New Roman"/>
                <w:b/>
                <w:sz w:val="24"/>
                <w:lang w:val="en-US"/>
              </w:rPr>
              <w:t>9</w:t>
            </w:r>
          </w:p>
        </w:tc>
        <w:tc>
          <w:tcPr>
            <w:tcW w:w="1399" w:type="dxa"/>
          </w:tcPr>
          <w:p w14:paraId="24FDD3C9" w14:textId="77777777" w:rsidR="000E6F25" w:rsidRPr="00830B5B" w:rsidRDefault="000E6F25" w:rsidP="00297B8A">
            <w:pPr>
              <w:jc w:val="left"/>
              <w:rPr>
                <w:rFonts w:cs="Times New Roman"/>
                <w:color w:val="000000"/>
                <w:sz w:val="24"/>
                <w:lang w:val="hr-HR"/>
              </w:rPr>
            </w:pPr>
          </w:p>
          <w:p w14:paraId="38B29CCA" w14:textId="77777777" w:rsidR="000E6F25" w:rsidRPr="00830B5B" w:rsidRDefault="000E6F25" w:rsidP="00297B8A">
            <w:pPr>
              <w:jc w:val="left"/>
              <w:rPr>
                <w:rFonts w:cs="Times New Roman"/>
                <w:color w:val="000000"/>
                <w:sz w:val="24"/>
                <w:lang w:val="hr-HR"/>
              </w:rPr>
            </w:pPr>
          </w:p>
          <w:p w14:paraId="6EE0D210" w14:textId="4EB20FF5" w:rsidR="000E6F25" w:rsidRPr="00830B5B" w:rsidRDefault="000E6F25" w:rsidP="00297B8A">
            <w:pPr>
              <w:jc w:val="left"/>
              <w:rPr>
                <w:rFonts w:cs="Times New Roman"/>
                <w:color w:val="000000"/>
                <w:sz w:val="24"/>
                <w:lang w:val="hr-HR"/>
              </w:rPr>
            </w:pPr>
            <w:r w:rsidRPr="00830B5B">
              <w:rPr>
                <w:rFonts w:cs="Times New Roman"/>
                <w:color w:val="000000"/>
                <w:sz w:val="24"/>
                <w:lang w:val="hr-HR"/>
              </w:rPr>
              <w:t>Về Hội đồng thẩm định giá</w:t>
            </w:r>
          </w:p>
        </w:tc>
        <w:tc>
          <w:tcPr>
            <w:tcW w:w="1530" w:type="dxa"/>
            <w:vAlign w:val="center"/>
          </w:tcPr>
          <w:p w14:paraId="77404934" w14:textId="136D8A91" w:rsidR="000E6F25" w:rsidRPr="00830B5B" w:rsidRDefault="000E6F25" w:rsidP="000E6F25">
            <w:pPr>
              <w:rPr>
                <w:rFonts w:cs="Times New Roman"/>
                <w:color w:val="000000"/>
                <w:sz w:val="24"/>
                <w:lang w:val="hr-HR"/>
              </w:rPr>
            </w:pPr>
            <w:r w:rsidRPr="00830B5B">
              <w:rPr>
                <w:rFonts w:cs="Times New Roman"/>
                <w:b/>
                <w:sz w:val="24"/>
                <w:lang w:val="en-US"/>
              </w:rPr>
              <w:t>Bộ Tư pháp</w:t>
            </w:r>
          </w:p>
        </w:tc>
        <w:tc>
          <w:tcPr>
            <w:tcW w:w="6300" w:type="dxa"/>
          </w:tcPr>
          <w:p w14:paraId="7EB37615" w14:textId="0706DEEF" w:rsidR="000E6F25" w:rsidRPr="00830B5B" w:rsidRDefault="000E6F25" w:rsidP="000E6F25">
            <w:pPr>
              <w:rPr>
                <w:rFonts w:cs="Times New Roman"/>
                <w:i/>
                <w:color w:val="000000"/>
                <w:sz w:val="24"/>
              </w:rPr>
            </w:pPr>
            <w:r w:rsidRPr="00830B5B">
              <w:rPr>
                <w:rFonts w:cs="Times New Roman"/>
                <w:color w:val="000000"/>
                <w:sz w:val="24"/>
                <w:lang w:val="hr-HR"/>
              </w:rPr>
              <w:t>Luật Đấu giá tài sản không có quy định cấm người có tài sản đấu giá tham gia đánh giá hồ sơ tham gia đấu giá</w:t>
            </w:r>
            <w:r w:rsidRPr="00830B5B">
              <w:rPr>
                <w:rFonts w:cs="Times New Roman"/>
                <w:color w:val="000000"/>
                <w:sz w:val="24"/>
              </w:rPr>
              <w:t xml:space="preserve">. </w:t>
            </w:r>
            <w:r w:rsidRPr="00830B5B">
              <w:rPr>
                <w:rFonts w:cs="Times New Roman"/>
                <w:color w:val="000000"/>
                <w:sz w:val="24"/>
                <w:lang w:val="en-US"/>
              </w:rPr>
              <w:t xml:space="preserve">Vì vậy, </w:t>
            </w:r>
            <w:r w:rsidRPr="00830B5B">
              <w:rPr>
                <w:rFonts w:cs="Times New Roman"/>
                <w:color w:val="000000"/>
                <w:sz w:val="24"/>
              </w:rPr>
              <w:t xml:space="preserve">có thể bổ sung quy định </w:t>
            </w:r>
            <w:r w:rsidRPr="00830B5B">
              <w:rPr>
                <w:rFonts w:cs="Times New Roman"/>
                <w:color w:val="000000"/>
                <w:sz w:val="24"/>
                <w:lang w:val="hr-HR"/>
              </w:rPr>
              <w:t>Bộ Thông tin và Truyền thông (người có tài sản) (có thể thành lập Hội đồng thẩm định hồ sơ) phối hợp với tổ chức đấu giá tài sản (tổ chức có trách nhiệm chính trong việc tiếp nhận, đánh giá hồ sơ tham gia đấu giá) tại đ</w:t>
            </w:r>
            <w:r w:rsidRPr="00830B5B">
              <w:rPr>
                <w:rFonts w:cs="Times New Roman"/>
                <w:color w:val="000000"/>
                <w:sz w:val="24"/>
              </w:rPr>
              <w:t>iều 15 dự thảo Quyết định</w:t>
            </w:r>
            <w:r w:rsidRPr="00830B5B">
              <w:rPr>
                <w:rFonts w:cs="Times New Roman"/>
                <w:color w:val="000000"/>
                <w:sz w:val="24"/>
                <w:lang w:val="hr-HR"/>
              </w:rPr>
              <w:t xml:space="preserve">. </w:t>
            </w:r>
          </w:p>
          <w:p w14:paraId="45C5FEBC" w14:textId="77777777" w:rsidR="000E6F25" w:rsidRPr="00830B5B" w:rsidRDefault="000E6F25" w:rsidP="000E6F25">
            <w:pPr>
              <w:rPr>
                <w:rFonts w:cs="Times New Roman"/>
                <w:i/>
                <w:color w:val="000000"/>
                <w:sz w:val="24"/>
              </w:rPr>
            </w:pPr>
          </w:p>
        </w:tc>
        <w:tc>
          <w:tcPr>
            <w:tcW w:w="5923" w:type="dxa"/>
          </w:tcPr>
          <w:p w14:paraId="13DDAA6C" w14:textId="18846C91" w:rsidR="000E6F25" w:rsidRPr="00830B5B" w:rsidRDefault="000E6F25" w:rsidP="000E6F25">
            <w:pPr>
              <w:rPr>
                <w:rFonts w:cs="Times New Roman"/>
                <w:b/>
                <w:sz w:val="24"/>
                <w:lang w:val="en-US"/>
              </w:rPr>
            </w:pPr>
            <w:r w:rsidRPr="00830B5B">
              <w:rPr>
                <w:rFonts w:cs="Times New Roman"/>
                <w:b/>
                <w:sz w:val="24"/>
                <w:lang w:val="en-US"/>
              </w:rPr>
              <w:t>Tiếp thu</w:t>
            </w:r>
          </w:p>
          <w:p w14:paraId="095B8F6C" w14:textId="015F9E65" w:rsidR="000E6F25" w:rsidRPr="00830B5B" w:rsidRDefault="000E6F25" w:rsidP="000E6F25">
            <w:pPr>
              <w:rPr>
                <w:rFonts w:cs="Times New Roman"/>
                <w:sz w:val="24"/>
                <w:u w:val="single"/>
                <w:lang w:val="en-US"/>
              </w:rPr>
            </w:pPr>
            <w:r w:rsidRPr="00830B5B">
              <w:rPr>
                <w:rFonts w:cs="Times New Roman"/>
                <w:sz w:val="24"/>
                <w:lang w:val="en-US"/>
              </w:rPr>
              <w:t xml:space="preserve">Bổ sung, sửa đổi khoản 3 điều 17 việc </w:t>
            </w:r>
            <w:r w:rsidRPr="00830B5B">
              <w:rPr>
                <w:rFonts w:cs="Times New Roman"/>
                <w:bCs/>
                <w:sz w:val="24"/>
                <w:lang w:val="nl-NL"/>
              </w:rPr>
              <w:t>Bộ Thông tin và Truyền thông thành lập Hội đồng thẩm định hồ sơ, phối hợp với Tổ chức đấu giá tài sản đánh giá hồ sơ</w:t>
            </w:r>
          </w:p>
        </w:tc>
      </w:tr>
      <w:tr w:rsidR="000E6F25" w:rsidRPr="00830B5B" w14:paraId="6B979F91" w14:textId="77777777" w:rsidTr="00830B5B">
        <w:tc>
          <w:tcPr>
            <w:tcW w:w="671" w:type="dxa"/>
            <w:vAlign w:val="center"/>
          </w:tcPr>
          <w:p w14:paraId="603B3DB4" w14:textId="4C91D9C2" w:rsidR="000E6F25" w:rsidRPr="00830B5B" w:rsidRDefault="000D4278" w:rsidP="000E6F25">
            <w:pPr>
              <w:jc w:val="center"/>
              <w:rPr>
                <w:rFonts w:cs="Times New Roman"/>
                <w:b/>
                <w:sz w:val="24"/>
                <w:lang w:val="en-US"/>
              </w:rPr>
            </w:pPr>
            <w:r w:rsidRPr="00830B5B">
              <w:rPr>
                <w:rFonts w:cs="Times New Roman"/>
                <w:b/>
                <w:sz w:val="24"/>
                <w:lang w:val="en-US"/>
              </w:rPr>
              <w:t>10</w:t>
            </w:r>
          </w:p>
        </w:tc>
        <w:tc>
          <w:tcPr>
            <w:tcW w:w="1399" w:type="dxa"/>
          </w:tcPr>
          <w:p w14:paraId="3735B1E6" w14:textId="77777777" w:rsidR="000E6F25" w:rsidRPr="00830B5B" w:rsidRDefault="000E6F25" w:rsidP="00297B8A">
            <w:pPr>
              <w:jc w:val="left"/>
              <w:rPr>
                <w:rFonts w:cs="Times New Roman"/>
                <w:color w:val="000000"/>
                <w:sz w:val="24"/>
                <w:lang w:val="en-US"/>
              </w:rPr>
            </w:pPr>
          </w:p>
          <w:p w14:paraId="21F68718" w14:textId="77777777" w:rsidR="000E6F25" w:rsidRPr="00830B5B" w:rsidRDefault="000E6F25" w:rsidP="00297B8A">
            <w:pPr>
              <w:jc w:val="left"/>
              <w:rPr>
                <w:rFonts w:cs="Times New Roman"/>
                <w:color w:val="000000"/>
                <w:sz w:val="24"/>
                <w:lang w:val="en-US"/>
              </w:rPr>
            </w:pPr>
          </w:p>
          <w:p w14:paraId="09A96296" w14:textId="77777777" w:rsidR="000E6F25" w:rsidRPr="00830B5B" w:rsidRDefault="000E6F25" w:rsidP="00297B8A">
            <w:pPr>
              <w:jc w:val="left"/>
              <w:rPr>
                <w:rFonts w:cs="Times New Roman"/>
                <w:color w:val="000000"/>
                <w:sz w:val="24"/>
                <w:lang w:val="en-US"/>
              </w:rPr>
            </w:pPr>
          </w:p>
          <w:p w14:paraId="4237D72E" w14:textId="77777777" w:rsidR="000E6F25" w:rsidRPr="00830B5B" w:rsidRDefault="000E6F25" w:rsidP="00297B8A">
            <w:pPr>
              <w:jc w:val="left"/>
              <w:rPr>
                <w:rFonts w:cs="Times New Roman"/>
                <w:color w:val="000000"/>
                <w:sz w:val="24"/>
                <w:lang w:val="en-US"/>
              </w:rPr>
            </w:pPr>
          </w:p>
          <w:p w14:paraId="6F72658B" w14:textId="167079F6" w:rsidR="000E6F25" w:rsidRPr="00830B5B" w:rsidRDefault="000E6F25" w:rsidP="00297B8A">
            <w:pPr>
              <w:jc w:val="left"/>
              <w:rPr>
                <w:rFonts w:cs="Times New Roman"/>
                <w:color w:val="000000"/>
                <w:sz w:val="24"/>
                <w:lang w:val="en-US"/>
              </w:rPr>
            </w:pPr>
            <w:r w:rsidRPr="00830B5B">
              <w:rPr>
                <w:rFonts w:cs="Times New Roman"/>
                <w:color w:val="000000"/>
                <w:sz w:val="24"/>
                <w:lang w:val="en-US"/>
              </w:rPr>
              <w:lastRenderedPageBreak/>
              <w:t>Về Hội đồng đấu giá tài sản</w:t>
            </w:r>
          </w:p>
        </w:tc>
        <w:tc>
          <w:tcPr>
            <w:tcW w:w="1530" w:type="dxa"/>
            <w:vAlign w:val="center"/>
          </w:tcPr>
          <w:p w14:paraId="15132692" w14:textId="6C69A774" w:rsidR="000E6F25" w:rsidRPr="00830B5B" w:rsidRDefault="000E6F25" w:rsidP="000E6F25">
            <w:pPr>
              <w:rPr>
                <w:rFonts w:cs="Times New Roman"/>
                <w:i/>
                <w:color w:val="000000"/>
                <w:sz w:val="24"/>
              </w:rPr>
            </w:pPr>
            <w:r w:rsidRPr="00830B5B">
              <w:rPr>
                <w:rFonts w:cs="Times New Roman"/>
                <w:b/>
                <w:sz w:val="24"/>
                <w:lang w:val="en-US"/>
              </w:rPr>
              <w:lastRenderedPageBreak/>
              <w:t>Bộ Tư pháp</w:t>
            </w:r>
          </w:p>
        </w:tc>
        <w:tc>
          <w:tcPr>
            <w:tcW w:w="6300" w:type="dxa"/>
          </w:tcPr>
          <w:p w14:paraId="2FD2B073" w14:textId="67FC593F" w:rsidR="000E6F25" w:rsidRPr="00830B5B" w:rsidRDefault="000E6F25" w:rsidP="00BE78B2">
            <w:pPr>
              <w:rPr>
                <w:rFonts w:cs="Times New Roman"/>
                <w:color w:val="000000"/>
                <w:sz w:val="24"/>
              </w:rPr>
            </w:pPr>
            <w:r w:rsidRPr="00830B5B">
              <w:rPr>
                <w:rFonts w:cs="Times New Roman"/>
                <w:i/>
                <w:color w:val="000000"/>
                <w:sz w:val="24"/>
              </w:rPr>
              <w:t xml:space="preserve"> </w:t>
            </w:r>
            <w:r w:rsidRPr="00830B5B">
              <w:rPr>
                <w:rFonts w:cs="Times New Roman"/>
                <w:color w:val="000000"/>
                <w:sz w:val="24"/>
              </w:rPr>
              <w:t xml:space="preserve">Ngoài </w:t>
            </w:r>
            <w:r w:rsidRPr="00830B5B">
              <w:rPr>
                <w:rFonts w:cs="Times New Roman"/>
                <w:color w:val="000000"/>
                <w:sz w:val="24"/>
                <w:lang w:val="en-US"/>
              </w:rPr>
              <w:t xml:space="preserve">ra, đề nghị </w:t>
            </w:r>
            <w:r w:rsidRPr="00830B5B">
              <w:rPr>
                <w:rFonts w:cs="Times New Roman"/>
                <w:color w:val="000000"/>
                <w:sz w:val="24"/>
              </w:rPr>
              <w:t>cân nhắc bổ sung một số nội dung như sau:</w:t>
            </w:r>
          </w:p>
          <w:p w14:paraId="40C80A43" w14:textId="5E3A2B39" w:rsidR="000E6F25" w:rsidRPr="00830B5B" w:rsidRDefault="000E6F25" w:rsidP="00BE78B2">
            <w:pPr>
              <w:rPr>
                <w:rFonts w:cs="Times New Roman"/>
                <w:color w:val="000000"/>
                <w:spacing w:val="-6"/>
                <w:sz w:val="24"/>
              </w:rPr>
            </w:pPr>
            <w:r w:rsidRPr="00830B5B">
              <w:rPr>
                <w:rFonts w:cs="Times New Roman"/>
                <w:color w:val="000000"/>
                <w:spacing w:val="-6"/>
                <w:sz w:val="24"/>
                <w:lang w:val="en-US"/>
              </w:rPr>
              <w:t>- C</w:t>
            </w:r>
            <w:r w:rsidRPr="00830B5B">
              <w:rPr>
                <w:rFonts w:cs="Times New Roman"/>
                <w:color w:val="000000"/>
                <w:spacing w:val="-6"/>
                <w:sz w:val="24"/>
              </w:rPr>
              <w:t xml:space="preserve">hế tài xử lý đối với trường hợp tổ chức, cá nhân trúng đấu giá không nộp tiền hoặc nộp không đầy đủ, không đúng hạn tiền trúng </w:t>
            </w:r>
            <w:r w:rsidRPr="00830B5B">
              <w:rPr>
                <w:rFonts w:cs="Times New Roman"/>
                <w:color w:val="000000"/>
                <w:spacing w:val="-6"/>
                <w:sz w:val="24"/>
              </w:rPr>
              <w:lastRenderedPageBreak/>
              <w:t>đấu giá theo hướng cơ quan có thẩm quyền sẽ hủy bỏ quyết định phê duyệt kết quả trúng đấu giá.</w:t>
            </w:r>
          </w:p>
          <w:p w14:paraId="553E880D" w14:textId="5877E09F" w:rsidR="000E6F25" w:rsidRPr="00830B5B" w:rsidRDefault="000E6F25" w:rsidP="00BE78B2">
            <w:pPr>
              <w:rPr>
                <w:rFonts w:cs="Times New Roman"/>
                <w:color w:val="000000"/>
                <w:spacing w:val="-6"/>
                <w:sz w:val="24"/>
              </w:rPr>
            </w:pPr>
            <w:r w:rsidRPr="00830B5B">
              <w:rPr>
                <w:rFonts w:cs="Times New Roman"/>
                <w:color w:val="000000"/>
                <w:sz w:val="24"/>
                <w:lang w:val="en-US"/>
              </w:rPr>
              <w:t xml:space="preserve">- </w:t>
            </w:r>
            <w:r w:rsidRPr="00830B5B">
              <w:rPr>
                <w:rFonts w:cs="Times New Roman"/>
                <w:color w:val="000000"/>
                <w:sz w:val="24"/>
              </w:rPr>
              <w:t>Bổ sung các quy định cụ thể về thành lập Hội đồng đấu giá tài sản trong trường hợp không lựa chọn được tổ chức đấu giá tài sản theo quy định tại khoản 1 Điều 60 Luật Đấu giá tài sản</w:t>
            </w:r>
          </w:p>
        </w:tc>
        <w:tc>
          <w:tcPr>
            <w:tcW w:w="5923" w:type="dxa"/>
          </w:tcPr>
          <w:p w14:paraId="5AF64126" w14:textId="77777777" w:rsidR="000E6F25" w:rsidRPr="00830B5B" w:rsidRDefault="000E6F25" w:rsidP="000E6F25">
            <w:pPr>
              <w:rPr>
                <w:rFonts w:cs="Times New Roman"/>
                <w:b/>
                <w:sz w:val="24"/>
                <w:lang w:val="en-US"/>
              </w:rPr>
            </w:pPr>
            <w:r w:rsidRPr="00830B5B">
              <w:rPr>
                <w:rFonts w:cs="Times New Roman"/>
                <w:b/>
                <w:sz w:val="24"/>
                <w:lang w:val="en-US"/>
              </w:rPr>
              <w:lastRenderedPageBreak/>
              <w:t>Tiếp thu</w:t>
            </w:r>
          </w:p>
          <w:p w14:paraId="31396E2E" w14:textId="77777777" w:rsidR="000E6F25" w:rsidRPr="00830B5B" w:rsidRDefault="000E6F25" w:rsidP="000E6F25">
            <w:pPr>
              <w:rPr>
                <w:rFonts w:cs="Times New Roman"/>
                <w:color w:val="000000"/>
                <w:spacing w:val="-6"/>
                <w:sz w:val="24"/>
                <w:lang w:val="en-US"/>
              </w:rPr>
            </w:pPr>
            <w:r w:rsidRPr="00830B5B">
              <w:rPr>
                <w:rFonts w:cs="Times New Roman"/>
                <w:color w:val="000000"/>
                <w:spacing w:val="-6"/>
                <w:sz w:val="24"/>
                <w:lang w:val="en-US"/>
              </w:rPr>
              <w:t>Đ</w:t>
            </w:r>
            <w:r w:rsidRPr="00830B5B">
              <w:rPr>
                <w:rFonts w:cs="Times New Roman"/>
                <w:color w:val="000000"/>
                <w:spacing w:val="-6"/>
                <w:sz w:val="24"/>
              </w:rPr>
              <w:t>ối với trường hợp tổ chức, cá nhân trúng đấu giá không nộp tiền hoặc nộp không đầy đủ, không đúng hạn tiền trúng đấu giá</w:t>
            </w:r>
            <w:r w:rsidRPr="00830B5B">
              <w:rPr>
                <w:rFonts w:cs="Times New Roman"/>
                <w:color w:val="000000"/>
                <w:spacing w:val="-6"/>
                <w:sz w:val="24"/>
                <w:lang w:val="en-US"/>
              </w:rPr>
              <w:t xml:space="preserve"> sẽ bị hủy kết quả đấu giá (khoản 2 Điều 19, khoản 2 Điều 25). </w:t>
            </w:r>
          </w:p>
          <w:p w14:paraId="342E3442" w14:textId="0344A891" w:rsidR="000E6F25" w:rsidRPr="00830B5B" w:rsidRDefault="000E6F25" w:rsidP="000E6F25">
            <w:pPr>
              <w:rPr>
                <w:rFonts w:cs="Times New Roman"/>
                <w:b/>
                <w:sz w:val="24"/>
                <w:u w:val="single"/>
                <w:lang w:val="en-US"/>
              </w:rPr>
            </w:pPr>
            <w:r w:rsidRPr="00830B5B">
              <w:rPr>
                <w:rFonts w:cs="Times New Roman"/>
                <w:color w:val="000000"/>
                <w:spacing w:val="-6"/>
                <w:sz w:val="24"/>
                <w:lang w:val="en-US"/>
              </w:rPr>
              <w:lastRenderedPageBreak/>
              <w:t>Bổ sung việc thành lập Hội đồng đấu giá tài sản trong trường hợp không chọn được Tổ chức đấu giá tài sản tại khoản 3 Điều 7.</w:t>
            </w:r>
          </w:p>
        </w:tc>
      </w:tr>
      <w:tr w:rsidR="000E6F25" w:rsidRPr="00830B5B" w14:paraId="41AD21BA" w14:textId="77777777" w:rsidTr="00830B5B">
        <w:tc>
          <w:tcPr>
            <w:tcW w:w="671" w:type="dxa"/>
            <w:vAlign w:val="center"/>
          </w:tcPr>
          <w:p w14:paraId="32D1647B" w14:textId="6BA68564" w:rsidR="000E6F25" w:rsidRPr="00830B5B" w:rsidRDefault="000D4278" w:rsidP="000E6F25">
            <w:pPr>
              <w:jc w:val="center"/>
              <w:rPr>
                <w:rFonts w:cs="Times New Roman"/>
                <w:b/>
                <w:sz w:val="24"/>
                <w:lang w:val="en-US"/>
              </w:rPr>
            </w:pPr>
            <w:r w:rsidRPr="00830B5B">
              <w:rPr>
                <w:rFonts w:cs="Times New Roman"/>
                <w:b/>
                <w:sz w:val="24"/>
                <w:lang w:val="en-US"/>
              </w:rPr>
              <w:lastRenderedPageBreak/>
              <w:t>11</w:t>
            </w:r>
          </w:p>
        </w:tc>
        <w:tc>
          <w:tcPr>
            <w:tcW w:w="1399" w:type="dxa"/>
          </w:tcPr>
          <w:p w14:paraId="4AF02559" w14:textId="74039AF8" w:rsidR="000E6F25" w:rsidRPr="00830B5B" w:rsidRDefault="000E6F25" w:rsidP="00297B8A">
            <w:pPr>
              <w:spacing w:before="60"/>
              <w:jc w:val="left"/>
              <w:rPr>
                <w:rFonts w:cs="Times New Roman"/>
                <w:sz w:val="24"/>
                <w:lang w:val="nl-NL"/>
              </w:rPr>
            </w:pPr>
            <w:r w:rsidRPr="00830B5B">
              <w:rPr>
                <w:rFonts w:cs="Times New Roman"/>
                <w:sz w:val="24"/>
                <w:lang w:val="nl-NL"/>
              </w:rPr>
              <w:t>Về hình thức đấu giá quyền sử dụng tên miền Internet</w:t>
            </w:r>
          </w:p>
        </w:tc>
        <w:tc>
          <w:tcPr>
            <w:tcW w:w="1530" w:type="dxa"/>
            <w:vAlign w:val="center"/>
          </w:tcPr>
          <w:p w14:paraId="23B91CDE" w14:textId="01730E1F" w:rsidR="000E6F25" w:rsidRPr="00830B5B" w:rsidRDefault="000E6F25" w:rsidP="000E6F25">
            <w:pPr>
              <w:spacing w:before="60"/>
              <w:rPr>
                <w:rFonts w:cs="Times New Roman"/>
                <w:sz w:val="24"/>
                <w:lang w:val="nl-NL"/>
              </w:rPr>
            </w:pPr>
            <w:r w:rsidRPr="00830B5B">
              <w:rPr>
                <w:rFonts w:cs="Times New Roman"/>
                <w:b/>
                <w:sz w:val="24"/>
                <w:lang w:val="en-US"/>
              </w:rPr>
              <w:t>Bộ Tài chính</w:t>
            </w:r>
          </w:p>
        </w:tc>
        <w:tc>
          <w:tcPr>
            <w:tcW w:w="6300" w:type="dxa"/>
          </w:tcPr>
          <w:p w14:paraId="67A8399E" w14:textId="12446FA4" w:rsidR="000E6F25" w:rsidRPr="00830B5B" w:rsidRDefault="000E6F25" w:rsidP="000E6F25">
            <w:pPr>
              <w:spacing w:before="60"/>
              <w:rPr>
                <w:rFonts w:cs="Times New Roman"/>
                <w:i/>
                <w:color w:val="000000"/>
                <w:sz w:val="24"/>
                <w:lang w:val="en-US"/>
              </w:rPr>
            </w:pPr>
            <w:r w:rsidRPr="00830B5B">
              <w:rPr>
                <w:rFonts w:cs="Times New Roman"/>
                <w:sz w:val="24"/>
                <w:lang w:val="nl-NL"/>
              </w:rPr>
              <w:t xml:space="preserve">Nghị định số </w:t>
            </w:r>
            <w:r w:rsidRPr="00830B5B">
              <w:rPr>
                <w:rFonts w:cs="Times New Roman"/>
                <w:sz w:val="24"/>
                <w:lang w:val="nb-NO"/>
              </w:rPr>
              <w:t xml:space="preserve">151/2017/NĐ-CP chỉ quy định đối với kho số viễn thông, không có quy định đối với </w:t>
            </w:r>
            <w:r w:rsidRPr="00830B5B">
              <w:rPr>
                <w:rFonts w:cs="Times New Roman"/>
                <w:sz w:val="24"/>
              </w:rPr>
              <w:t>tên miền Internet</w:t>
            </w:r>
            <w:r w:rsidRPr="00830B5B">
              <w:rPr>
                <w:rFonts w:cs="Times New Roman"/>
                <w:sz w:val="24"/>
                <w:lang w:val="en-US"/>
              </w:rPr>
              <w:t xml:space="preserve"> (về hình thức khai thác quyền sử dụng).</w:t>
            </w:r>
          </w:p>
          <w:p w14:paraId="44BE34C7" w14:textId="3BB75D82" w:rsidR="000E6F25" w:rsidRPr="00830B5B" w:rsidRDefault="000E6F25" w:rsidP="000E6F25">
            <w:pPr>
              <w:spacing w:before="60"/>
              <w:rPr>
                <w:rFonts w:cs="Times New Roman"/>
                <w:i/>
                <w:color w:val="000000"/>
                <w:sz w:val="24"/>
              </w:rPr>
            </w:pPr>
            <w:r w:rsidRPr="00830B5B">
              <w:rPr>
                <w:rFonts w:cs="Times New Roman"/>
                <w:sz w:val="24"/>
                <w:lang w:val="nl-NL"/>
              </w:rPr>
              <w:t xml:space="preserve">Đề nghị </w:t>
            </w:r>
            <w:r w:rsidRPr="00830B5B">
              <w:rPr>
                <w:rFonts w:cs="Times New Roman"/>
                <w:sz w:val="24"/>
              </w:rPr>
              <w:t xml:space="preserve">Bộ </w:t>
            </w:r>
            <w:r w:rsidRPr="00830B5B">
              <w:rPr>
                <w:rFonts w:cs="Times New Roman"/>
                <w:sz w:val="24"/>
                <w:lang w:val="nl-NL"/>
              </w:rPr>
              <w:t>Thông tin và Truyền thông</w:t>
            </w:r>
            <w:r w:rsidRPr="00830B5B">
              <w:rPr>
                <w:rFonts w:cs="Times New Roman"/>
                <w:sz w:val="24"/>
              </w:rPr>
              <w:t xml:space="preserve"> </w:t>
            </w:r>
            <w:r w:rsidRPr="00830B5B">
              <w:rPr>
                <w:rFonts w:cs="Times New Roman"/>
                <w:sz w:val="24"/>
                <w:lang w:val="nl-NL"/>
              </w:rPr>
              <w:t>xác định việc đấu giá quyền sử dụng tên miền Internet thuộc hình thức khai thác tại khoản 1  hay khoản 4 Điều 121 Luật Quản lý, sử dụng tài sản công để xác định thẩm quyền ban hành văn bản cho phù hợp với quy định tại Luật Quản lý, sử dụng tài sản công.</w:t>
            </w:r>
          </w:p>
        </w:tc>
        <w:tc>
          <w:tcPr>
            <w:tcW w:w="5923" w:type="dxa"/>
          </w:tcPr>
          <w:p w14:paraId="4FFBA26A" w14:textId="77777777" w:rsidR="000E6F25" w:rsidRPr="00830B5B" w:rsidRDefault="000E6F25" w:rsidP="000E6F25">
            <w:pPr>
              <w:rPr>
                <w:rFonts w:cs="Times New Roman"/>
                <w:b/>
                <w:sz w:val="24"/>
                <w:lang w:val="en-US"/>
              </w:rPr>
            </w:pPr>
            <w:r w:rsidRPr="00830B5B">
              <w:rPr>
                <w:rFonts w:cs="Times New Roman"/>
                <w:b/>
                <w:sz w:val="24"/>
                <w:lang w:val="en-US"/>
              </w:rPr>
              <w:t>Bảo lưu</w:t>
            </w:r>
          </w:p>
          <w:p w14:paraId="19B811B9" w14:textId="11B6158B" w:rsidR="000E6F25" w:rsidRPr="00830B5B" w:rsidRDefault="000E6F25" w:rsidP="000E6F25">
            <w:pPr>
              <w:rPr>
                <w:rFonts w:cs="Times New Roman"/>
                <w:b/>
                <w:sz w:val="24"/>
                <w:lang w:val="en-US"/>
              </w:rPr>
            </w:pPr>
            <w:r w:rsidRPr="00830B5B">
              <w:rPr>
                <w:rFonts w:cs="Times New Roman"/>
                <w:sz w:val="24"/>
                <w:lang w:val="en-US"/>
              </w:rPr>
              <w:t xml:space="preserve">Về hình thức khai thác nguồn lực tài chính từ tài nguyên: </w:t>
            </w:r>
            <w:r w:rsidRPr="00830B5B">
              <w:rPr>
                <w:rFonts w:cs="Times New Roman"/>
                <w:bCs/>
                <w:sz w:val="24"/>
                <w:lang w:val="en-US"/>
              </w:rPr>
              <w:t>Điều 121 Luật Quản lý sử dụng tài sản công quy định 04 hình thức khai thác nguồn lực tài chính từ tài nguyên; “M</w:t>
            </w:r>
            <w:r w:rsidRPr="00830B5B">
              <w:rPr>
                <w:rFonts w:cs="Times New Roman"/>
                <w:bCs/>
                <w:sz w:val="24"/>
                <w:lang w:val="vi-VN"/>
              </w:rPr>
              <w:t>ức thu</w:t>
            </w:r>
            <w:r w:rsidRPr="00830B5B">
              <w:rPr>
                <w:rFonts w:cs="Times New Roman"/>
                <w:sz w:val="24"/>
                <w:lang w:val="vi-VN"/>
              </w:rPr>
              <w:t xml:space="preserve">, phương thức thu tiền cấp quyền khai thác tài nguyên, tiền sử dụng tài nguyên, tiền thuê tài nguyên </w:t>
            </w:r>
            <w:r w:rsidRPr="00830B5B">
              <w:rPr>
                <w:rFonts w:cs="Times New Roman"/>
                <w:sz w:val="24"/>
              </w:rPr>
              <w:t xml:space="preserve">thực hiện theo </w:t>
            </w:r>
            <w:r w:rsidRPr="00830B5B">
              <w:rPr>
                <w:rFonts w:cs="Times New Roman"/>
                <w:sz w:val="24"/>
                <w:lang w:val="vi-VN"/>
              </w:rPr>
              <w:t xml:space="preserve">quy định </w:t>
            </w:r>
            <w:r w:rsidRPr="00830B5B">
              <w:rPr>
                <w:rFonts w:cs="Times New Roman"/>
                <w:sz w:val="24"/>
              </w:rPr>
              <w:t xml:space="preserve">của </w:t>
            </w:r>
            <w:r w:rsidRPr="00830B5B">
              <w:rPr>
                <w:rFonts w:cs="Times New Roman"/>
                <w:sz w:val="24"/>
                <w:lang w:val="vi-VN"/>
              </w:rPr>
              <w:t>Chính phủ</w:t>
            </w:r>
            <w:r w:rsidRPr="00830B5B">
              <w:rPr>
                <w:rFonts w:cs="Times New Roman"/>
                <w:sz w:val="24"/>
                <w:lang w:val="en-US"/>
              </w:rPr>
              <w:t>” (Khoản 2 Điều 122 Luật  Quản lý sử dụng tài sản công)</w:t>
            </w:r>
          </w:p>
          <w:p w14:paraId="458CA24D" w14:textId="11652860" w:rsidR="000E6F25" w:rsidRPr="00830B5B" w:rsidRDefault="000E6F25" w:rsidP="000E6F25">
            <w:pPr>
              <w:spacing w:after="120"/>
              <w:rPr>
                <w:rFonts w:cs="Times New Roman"/>
                <w:sz w:val="24"/>
              </w:rPr>
            </w:pPr>
            <w:r w:rsidRPr="00830B5B">
              <w:rPr>
                <w:rFonts w:cs="Times New Roman"/>
                <w:sz w:val="24"/>
                <w:lang w:val="en-US"/>
              </w:rPr>
              <w:t xml:space="preserve"> Tuy nhiên, tại Khoản 1 Điều 122 Luật Quản lý sử dụng tài sản công quy định: “</w:t>
            </w:r>
            <w:r w:rsidRPr="00830B5B">
              <w:rPr>
                <w:rFonts w:cs="Times New Roman"/>
                <w:sz w:val="24"/>
                <w:lang w:val="vi-VN"/>
              </w:rPr>
              <w:t>1. Việc thu tiền cấp quyền khai thác tài nguyên, thu tiền sử dụng tài nguyên, tiền thuê tài nguyên được thực hiện theo quy định của các luật về tài nguyên</w:t>
            </w:r>
            <w:r w:rsidRPr="00830B5B">
              <w:rPr>
                <w:rFonts w:cs="Times New Roman"/>
                <w:sz w:val="24"/>
                <w:lang w:val="en-US"/>
              </w:rPr>
              <w:t>”</w:t>
            </w:r>
            <w:r w:rsidRPr="00830B5B">
              <w:rPr>
                <w:rFonts w:cs="Times New Roman"/>
                <w:sz w:val="24"/>
                <w:lang w:val="vi-VN"/>
              </w:rPr>
              <w:t>.</w:t>
            </w:r>
          </w:p>
          <w:p w14:paraId="3F3B3160" w14:textId="77777777" w:rsidR="000E6F25" w:rsidRPr="00830B5B" w:rsidRDefault="000E6F25" w:rsidP="000E6F25">
            <w:pPr>
              <w:rPr>
                <w:rFonts w:cs="Times New Roman"/>
                <w:sz w:val="24"/>
                <w:lang w:val="en-US"/>
              </w:rPr>
            </w:pPr>
            <w:r w:rsidRPr="00830B5B">
              <w:rPr>
                <w:rFonts w:cs="Times New Roman"/>
                <w:sz w:val="24"/>
                <w:lang w:val="en-US"/>
              </w:rPr>
              <w:t>- Điểm a, Khoản 2 Điều 48 Luật Viễn thông quy định phương thức phân bổ tài nguyên Internet: “</w:t>
            </w:r>
            <w:r w:rsidRPr="00830B5B">
              <w:rPr>
                <w:rFonts w:cs="Times New Roman"/>
                <w:sz w:val="24"/>
              </w:rPr>
              <w:t xml:space="preserve"> a) Đấu giá</w:t>
            </w:r>
            <w:r w:rsidRPr="00830B5B">
              <w:rPr>
                <w:rFonts w:cs="Times New Roman"/>
                <w:sz w:val="24"/>
                <w:u w:val="single"/>
              </w:rPr>
              <w:t>,</w:t>
            </w:r>
            <w:r w:rsidRPr="00830B5B">
              <w:rPr>
                <w:rFonts w:cs="Times New Roman"/>
                <w:sz w:val="24"/>
              </w:rPr>
              <w:t xml:space="preserve"> thi tuyển quyền sử dụng kho số viễn thông, tài nguyên Internet có giá trị thương mại cao, có nhu cầu sử dụng vượt quá khả năng phân bổ</w:t>
            </w:r>
            <w:r w:rsidRPr="00830B5B">
              <w:rPr>
                <w:rFonts w:cs="Times New Roman"/>
                <w:sz w:val="24"/>
                <w:lang w:val="en-US"/>
              </w:rPr>
              <w:t>”;</w:t>
            </w:r>
          </w:p>
          <w:p w14:paraId="5CE1FBB3" w14:textId="16626BE1" w:rsidR="000E6F25" w:rsidRPr="00830B5B" w:rsidRDefault="000E6F25" w:rsidP="000E6F25">
            <w:pPr>
              <w:spacing w:after="120"/>
              <w:rPr>
                <w:rFonts w:cs="Times New Roman"/>
                <w:sz w:val="24"/>
                <w:lang w:val="en-US"/>
              </w:rPr>
            </w:pPr>
            <w:r w:rsidRPr="00830B5B">
              <w:rPr>
                <w:rFonts w:cs="Times New Roman"/>
                <w:sz w:val="24"/>
                <w:lang w:val="en-US"/>
              </w:rPr>
              <w:t>Khoản 3 Điều 48 quy định tổ chức cá nhân được phân bổ tài nguyên Internet phải có trách nhiệm “</w:t>
            </w:r>
            <w:r w:rsidRPr="00830B5B">
              <w:rPr>
                <w:rFonts w:cs="Times New Roman"/>
                <w:sz w:val="24"/>
              </w:rPr>
              <w:t>Nộp phí sử dụng, lệ phí phân bổ kho số viễn thông, tài nguyên Internet</w:t>
            </w:r>
            <w:r w:rsidRPr="00830B5B">
              <w:rPr>
                <w:rFonts w:cs="Times New Roman"/>
                <w:sz w:val="24"/>
                <w:lang w:val="en-US"/>
              </w:rPr>
              <w:t>”</w:t>
            </w:r>
          </w:p>
          <w:p w14:paraId="72C23300" w14:textId="0759E01F" w:rsidR="000E6F25" w:rsidRPr="00830B5B" w:rsidRDefault="000E6F25" w:rsidP="000E6F25">
            <w:pPr>
              <w:spacing w:after="120"/>
              <w:rPr>
                <w:rFonts w:cs="Times New Roman"/>
                <w:sz w:val="24"/>
              </w:rPr>
            </w:pPr>
            <w:r w:rsidRPr="00830B5B">
              <w:rPr>
                <w:rFonts w:cs="Times New Roman"/>
                <w:sz w:val="24"/>
                <w:lang w:val="en-US"/>
              </w:rPr>
              <w:t>“</w:t>
            </w:r>
            <w:r w:rsidRPr="00830B5B">
              <w:rPr>
                <w:rFonts w:cs="Times New Roman"/>
                <w:sz w:val="24"/>
              </w:rPr>
              <w:t>Bộ Tài chính chủ trì phối hợp với Bộ Thông tin và Truyền thông quy định chi tiết mức thu, chế độ thu, nộp, quản lý và sử dụng phí sử dụng, lệ phí phân bổ kho số viễn thông, tài nguyên Internet</w:t>
            </w:r>
            <w:r w:rsidRPr="00830B5B">
              <w:rPr>
                <w:rFonts w:cs="Times New Roman"/>
                <w:sz w:val="24"/>
                <w:lang w:val="en-US"/>
              </w:rPr>
              <w:t>” (Khoản 7 Điều 48 Luật Viễn thông)</w:t>
            </w:r>
            <w:r w:rsidRPr="00830B5B">
              <w:rPr>
                <w:rFonts w:cs="Times New Roman"/>
                <w:sz w:val="24"/>
              </w:rPr>
              <w:t>.</w:t>
            </w:r>
          </w:p>
          <w:p w14:paraId="58D15BF9" w14:textId="38D55528" w:rsidR="000E6F25" w:rsidRPr="00830B5B" w:rsidRDefault="000E6F25" w:rsidP="000E6F25">
            <w:pPr>
              <w:spacing w:after="120"/>
              <w:rPr>
                <w:rFonts w:cs="Times New Roman"/>
                <w:sz w:val="24"/>
                <w:lang w:val="en-US"/>
              </w:rPr>
            </w:pPr>
            <w:r w:rsidRPr="00830B5B">
              <w:rPr>
                <w:rFonts w:cs="Times New Roman"/>
                <w:sz w:val="24"/>
                <w:lang w:val="en-US"/>
              </w:rPr>
              <w:lastRenderedPageBreak/>
              <w:t xml:space="preserve">Như vậy, căn cứ các quy định nêu trên việc phân bổ tài nguyên Internet được thực hiện theo phương thức đấu giá, thi tuyển hoặc phân bổ trực tiếp; thu phí lệ phí đăng ký sử dụng đối với tài nguyên Internet được phân bổ. </w:t>
            </w:r>
          </w:p>
          <w:p w14:paraId="5E296491" w14:textId="70CAAB29" w:rsidR="000E6F25" w:rsidRPr="00830B5B" w:rsidRDefault="000E6F25" w:rsidP="000E6F25">
            <w:pPr>
              <w:rPr>
                <w:rFonts w:cs="Times New Roman"/>
                <w:sz w:val="24"/>
                <w:lang w:val="en-US"/>
              </w:rPr>
            </w:pPr>
            <w:r w:rsidRPr="00830B5B">
              <w:rPr>
                <w:rFonts w:cs="Times New Roman"/>
                <w:sz w:val="24"/>
                <w:lang w:val="en-US"/>
              </w:rPr>
              <w:t>Về thẩm quyền ban hành văn bản:</w:t>
            </w:r>
          </w:p>
          <w:p w14:paraId="03929A79" w14:textId="4973476A" w:rsidR="000E6F25" w:rsidRPr="00830B5B" w:rsidRDefault="000E6F25" w:rsidP="000E6F25">
            <w:pPr>
              <w:rPr>
                <w:rFonts w:cs="Times New Roman"/>
                <w:sz w:val="24"/>
                <w:lang w:val="en-US"/>
              </w:rPr>
            </w:pPr>
            <w:r w:rsidRPr="00830B5B">
              <w:rPr>
                <w:rFonts w:cs="Times New Roman"/>
                <w:sz w:val="24"/>
                <w:lang w:val="en-US"/>
              </w:rPr>
              <w:t xml:space="preserve"> Theo quy định tại Khoản 5, Điều 48, Luật Viễn thông “Thủ tướng Chính phủ quy định chi tiết việc phân bổ kho số Viên thông, tài nguyên Internet thông qua đấu giá, chuyển nhượng”. </w:t>
            </w:r>
          </w:p>
          <w:p w14:paraId="2A3CBEE5" w14:textId="57F6C108" w:rsidR="000E6F25" w:rsidRPr="00830B5B" w:rsidRDefault="000E6F25" w:rsidP="000E6F25">
            <w:pPr>
              <w:rPr>
                <w:rFonts w:cs="Times New Roman"/>
                <w:sz w:val="24"/>
                <w:lang w:val="en-US"/>
              </w:rPr>
            </w:pPr>
            <w:r w:rsidRPr="00830B5B">
              <w:rPr>
                <w:rFonts w:cs="Times New Roman"/>
                <w:sz w:val="24"/>
                <w:lang w:val="en-US"/>
              </w:rPr>
              <w:t>Do đó, quy định về đấu giá tên miền Internet thuộc thẩm quyền ban hành của Thủ tướng Chính phủ.</w:t>
            </w:r>
          </w:p>
          <w:p w14:paraId="3A3FEE7E" w14:textId="3FD3453E" w:rsidR="000E6F25" w:rsidRPr="00830B5B" w:rsidRDefault="000E6F25" w:rsidP="000E6F25">
            <w:pPr>
              <w:rPr>
                <w:rFonts w:cs="Times New Roman"/>
                <w:b/>
                <w:sz w:val="24"/>
                <w:u w:val="single"/>
                <w:lang w:val="en-US"/>
              </w:rPr>
            </w:pPr>
          </w:p>
        </w:tc>
      </w:tr>
      <w:tr w:rsidR="000E6F25" w:rsidRPr="00830B5B" w14:paraId="4BABC927" w14:textId="77777777" w:rsidTr="00830B5B">
        <w:tc>
          <w:tcPr>
            <w:tcW w:w="671" w:type="dxa"/>
            <w:vAlign w:val="center"/>
          </w:tcPr>
          <w:p w14:paraId="683FE8A0" w14:textId="485EDD4C" w:rsidR="000E6F25" w:rsidRPr="00830B5B" w:rsidRDefault="000D4278" w:rsidP="000E6F25">
            <w:pPr>
              <w:jc w:val="center"/>
              <w:rPr>
                <w:rFonts w:cs="Times New Roman"/>
                <w:b/>
                <w:sz w:val="24"/>
                <w:lang w:val="en-US"/>
              </w:rPr>
            </w:pPr>
            <w:r w:rsidRPr="00830B5B">
              <w:rPr>
                <w:rFonts w:cs="Times New Roman"/>
                <w:b/>
                <w:sz w:val="24"/>
                <w:lang w:val="en-US"/>
              </w:rPr>
              <w:lastRenderedPageBreak/>
              <w:t>12</w:t>
            </w:r>
          </w:p>
        </w:tc>
        <w:tc>
          <w:tcPr>
            <w:tcW w:w="1399" w:type="dxa"/>
          </w:tcPr>
          <w:p w14:paraId="6D746FE9" w14:textId="6DE7F1FF" w:rsidR="000E6F25" w:rsidRPr="00830B5B" w:rsidRDefault="000E6F25" w:rsidP="00297B8A">
            <w:pPr>
              <w:spacing w:before="60" w:line="252" w:lineRule="auto"/>
              <w:jc w:val="left"/>
              <w:rPr>
                <w:rFonts w:cs="Times New Roman"/>
                <w:sz w:val="24"/>
                <w:lang w:val="en-US"/>
              </w:rPr>
            </w:pPr>
            <w:r w:rsidRPr="00830B5B">
              <w:rPr>
                <w:rFonts w:cs="Times New Roman"/>
                <w:sz w:val="24"/>
                <w:lang w:val="en-US"/>
              </w:rPr>
              <w:t>Về đối tượng áp dụng</w:t>
            </w:r>
          </w:p>
        </w:tc>
        <w:tc>
          <w:tcPr>
            <w:tcW w:w="1530" w:type="dxa"/>
            <w:vAlign w:val="center"/>
          </w:tcPr>
          <w:p w14:paraId="793518BD" w14:textId="578EBD2F" w:rsidR="000E6F25" w:rsidRPr="00830B5B" w:rsidRDefault="000E6F25" w:rsidP="000E6F25">
            <w:pPr>
              <w:spacing w:before="60" w:line="252" w:lineRule="auto"/>
              <w:rPr>
                <w:rFonts w:cs="Times New Roman"/>
                <w:sz w:val="24"/>
              </w:rPr>
            </w:pPr>
            <w:r w:rsidRPr="00830B5B">
              <w:rPr>
                <w:rFonts w:cs="Times New Roman"/>
                <w:b/>
                <w:sz w:val="24"/>
                <w:lang w:val="en-US"/>
              </w:rPr>
              <w:t>Bộ Tài chính</w:t>
            </w:r>
          </w:p>
        </w:tc>
        <w:tc>
          <w:tcPr>
            <w:tcW w:w="6300" w:type="dxa"/>
          </w:tcPr>
          <w:p w14:paraId="3B75D951" w14:textId="65F5601B" w:rsidR="000E6F25" w:rsidRPr="00830B5B" w:rsidRDefault="000E6F25" w:rsidP="000E6F25">
            <w:pPr>
              <w:spacing w:before="60" w:line="252" w:lineRule="auto"/>
              <w:rPr>
                <w:rFonts w:cs="Times New Roman"/>
                <w:sz w:val="24"/>
                <w:lang w:val="nl-NL"/>
              </w:rPr>
            </w:pPr>
            <w:r w:rsidRPr="00830B5B">
              <w:rPr>
                <w:rFonts w:cs="Times New Roman"/>
                <w:sz w:val="24"/>
              </w:rPr>
              <w:t>Đề nghị bổ sung đối tượng áp dụng là Bộ Thông tin và Truyền thông vì dự thảo Quyết định có quy định việc Bộ Thông tin và Truyền thông tổ chức đấu giá.</w:t>
            </w:r>
          </w:p>
        </w:tc>
        <w:tc>
          <w:tcPr>
            <w:tcW w:w="5923" w:type="dxa"/>
          </w:tcPr>
          <w:p w14:paraId="331ECD8C" w14:textId="77777777" w:rsidR="000E6F25" w:rsidRPr="00830B5B" w:rsidRDefault="000E6F25" w:rsidP="000E6F25">
            <w:pPr>
              <w:rPr>
                <w:rFonts w:cs="Times New Roman"/>
                <w:b/>
                <w:sz w:val="24"/>
                <w:lang w:val="en-US"/>
              </w:rPr>
            </w:pPr>
            <w:r w:rsidRPr="00830B5B">
              <w:rPr>
                <w:rFonts w:cs="Times New Roman"/>
                <w:b/>
                <w:sz w:val="24"/>
                <w:lang w:val="en-US"/>
              </w:rPr>
              <w:t>Bảo lưu</w:t>
            </w:r>
          </w:p>
          <w:p w14:paraId="3FC03486" w14:textId="77777777" w:rsidR="000E6F25" w:rsidRPr="00830B5B" w:rsidRDefault="000E6F25" w:rsidP="000E6F25">
            <w:pPr>
              <w:rPr>
                <w:rFonts w:cs="Times New Roman"/>
                <w:sz w:val="24"/>
                <w:lang w:val="en-US"/>
              </w:rPr>
            </w:pPr>
            <w:r w:rsidRPr="00830B5B">
              <w:rPr>
                <w:rFonts w:cs="Times New Roman"/>
                <w:sz w:val="24"/>
                <w:lang w:val="en-US"/>
              </w:rPr>
              <w:t>Tại dự thảo đã quy định đối tượng áp dụng là tổ chức, cá nhân có liên quan</w:t>
            </w:r>
          </w:p>
        </w:tc>
      </w:tr>
      <w:tr w:rsidR="000E6F25" w:rsidRPr="00830B5B" w14:paraId="01245E23" w14:textId="77777777" w:rsidTr="00830B5B">
        <w:tc>
          <w:tcPr>
            <w:tcW w:w="671" w:type="dxa"/>
            <w:vAlign w:val="center"/>
          </w:tcPr>
          <w:p w14:paraId="1850BA28" w14:textId="4A933BF7" w:rsidR="000E6F25" w:rsidRPr="00830B5B" w:rsidRDefault="000D4278" w:rsidP="000E6F25">
            <w:pPr>
              <w:jc w:val="center"/>
              <w:rPr>
                <w:rFonts w:cs="Times New Roman"/>
                <w:b/>
                <w:sz w:val="24"/>
                <w:lang w:val="en-US"/>
              </w:rPr>
            </w:pPr>
            <w:r w:rsidRPr="00830B5B">
              <w:rPr>
                <w:rFonts w:cs="Times New Roman"/>
                <w:b/>
                <w:sz w:val="24"/>
                <w:lang w:val="en-US"/>
              </w:rPr>
              <w:t>13</w:t>
            </w:r>
          </w:p>
        </w:tc>
        <w:tc>
          <w:tcPr>
            <w:tcW w:w="1399" w:type="dxa"/>
          </w:tcPr>
          <w:p w14:paraId="4AE6F6AC" w14:textId="0351DCE5" w:rsidR="000E6F25" w:rsidRPr="00830B5B" w:rsidRDefault="000E6F25" w:rsidP="00297B8A">
            <w:pPr>
              <w:spacing w:before="60"/>
              <w:jc w:val="left"/>
              <w:rPr>
                <w:rFonts w:cs="Times New Roman"/>
                <w:sz w:val="24"/>
                <w:lang w:val="en-US"/>
              </w:rPr>
            </w:pPr>
            <w:r w:rsidRPr="00830B5B">
              <w:rPr>
                <w:rFonts w:cs="Times New Roman"/>
                <w:sz w:val="24"/>
                <w:lang w:val="nl-NL"/>
              </w:rPr>
              <w:t xml:space="preserve">Về quy định tiền tham gia đấu giá, chi phí đấu giá </w:t>
            </w:r>
          </w:p>
        </w:tc>
        <w:tc>
          <w:tcPr>
            <w:tcW w:w="1530" w:type="dxa"/>
            <w:vAlign w:val="center"/>
          </w:tcPr>
          <w:p w14:paraId="5F7CE0C6" w14:textId="19FCA538" w:rsidR="000E6F25" w:rsidRPr="00830B5B" w:rsidRDefault="000E6F25" w:rsidP="000E6F25">
            <w:pPr>
              <w:spacing w:before="60"/>
              <w:rPr>
                <w:rFonts w:cs="Times New Roman"/>
                <w:sz w:val="24"/>
              </w:rPr>
            </w:pPr>
            <w:r w:rsidRPr="00830B5B">
              <w:rPr>
                <w:rFonts w:cs="Times New Roman"/>
                <w:b/>
                <w:sz w:val="24"/>
                <w:lang w:val="en-US"/>
              </w:rPr>
              <w:t>Bộ Tài chính</w:t>
            </w:r>
          </w:p>
        </w:tc>
        <w:tc>
          <w:tcPr>
            <w:tcW w:w="6300" w:type="dxa"/>
          </w:tcPr>
          <w:p w14:paraId="57E5873B" w14:textId="4B27DC70" w:rsidR="000E6F25" w:rsidRPr="00830B5B" w:rsidRDefault="000E6F25" w:rsidP="000E6F25">
            <w:pPr>
              <w:spacing w:before="60"/>
              <w:rPr>
                <w:rFonts w:cs="Times New Roman"/>
                <w:sz w:val="24"/>
                <w:lang w:val="nl-NL"/>
              </w:rPr>
            </w:pPr>
            <w:r w:rsidRPr="00830B5B">
              <w:rPr>
                <w:rFonts w:cs="Times New Roman"/>
                <w:sz w:val="24"/>
              </w:rPr>
              <w:t>Tại khoản 2 Điều 78 Luật Đấu giá quy định trách nhiệm của Bộ Tài chính hướng dẫn về chế độ tài chính trong hoạt động đấu giá tài sản. Ngày 15/5/2017, Bộ Tài chính đã ban hành Thông tư số 48/2017/TT-BTC quy định chế độ tài chính trong hoạt động đấu giá tài sản; đề nghị bỏ quy định tại khoản 3 Điều 4 dự thảo Quyết định để đảm bảo thực hiện thống nhất theo quy định chung.</w:t>
            </w:r>
          </w:p>
        </w:tc>
        <w:tc>
          <w:tcPr>
            <w:tcW w:w="5923" w:type="dxa"/>
          </w:tcPr>
          <w:p w14:paraId="1B81BAB4" w14:textId="77777777" w:rsidR="000E6F25" w:rsidRPr="00830B5B" w:rsidRDefault="000E6F25" w:rsidP="000E6F25">
            <w:pPr>
              <w:rPr>
                <w:rFonts w:cs="Times New Roman"/>
                <w:b/>
                <w:sz w:val="24"/>
                <w:lang w:val="en-US"/>
              </w:rPr>
            </w:pPr>
            <w:r w:rsidRPr="00830B5B">
              <w:rPr>
                <w:rFonts w:cs="Times New Roman"/>
                <w:b/>
                <w:sz w:val="24"/>
                <w:lang w:val="en-US"/>
              </w:rPr>
              <w:t>Bảo lưu</w:t>
            </w:r>
          </w:p>
          <w:p w14:paraId="5AE43DD1" w14:textId="77777777" w:rsidR="000E6F25" w:rsidRPr="00830B5B" w:rsidRDefault="000E6F25" w:rsidP="000E6F25">
            <w:pPr>
              <w:rPr>
                <w:rFonts w:cs="Times New Roman"/>
                <w:b/>
                <w:sz w:val="24"/>
                <w:u w:val="single"/>
                <w:lang w:val="en-US"/>
              </w:rPr>
            </w:pPr>
            <w:r w:rsidRPr="00830B5B">
              <w:rPr>
                <w:rFonts w:cs="Times New Roman"/>
                <w:sz w:val="24"/>
              </w:rPr>
              <w:t>Bộ Tài chính đã ban hành Thông tư số 48/2017/TT-BTC quy định chế độ tài chính trong hoạt động đấu giá tài sản</w:t>
            </w:r>
            <w:r w:rsidRPr="00830B5B">
              <w:rPr>
                <w:rFonts w:cs="Times New Roman"/>
                <w:sz w:val="24"/>
                <w:lang w:val="en-US"/>
              </w:rPr>
              <w:t xml:space="preserve">, phạm vi là </w:t>
            </w:r>
            <w:r w:rsidRPr="00830B5B">
              <w:rPr>
                <w:rFonts w:cs="Times New Roman"/>
                <w:color w:val="000000"/>
                <w:sz w:val="24"/>
                <w:shd w:val="clear" w:color="auto" w:fill="FFFFFF"/>
              </w:rPr>
              <w:t>quyền sử dụng đất theo quy định của pháp luật về đất đai và tài sản khác quy định tại </w:t>
            </w:r>
            <w:bookmarkStart w:id="1" w:name="dc_1"/>
            <w:r w:rsidRPr="00830B5B">
              <w:rPr>
                <w:rFonts w:cs="Times New Roman"/>
                <w:color w:val="000000"/>
                <w:sz w:val="24"/>
                <w:shd w:val="clear" w:color="auto" w:fill="FFFFFF"/>
              </w:rPr>
              <w:t>khoản 1 Điều 4 Luật Đấu giá tài sản</w:t>
            </w:r>
            <w:bookmarkEnd w:id="1"/>
            <w:r w:rsidRPr="00830B5B">
              <w:rPr>
                <w:rFonts w:cs="Times New Roman"/>
                <w:color w:val="000000"/>
                <w:sz w:val="24"/>
                <w:shd w:val="clear" w:color="auto" w:fill="FFFFFF"/>
              </w:rPr>
              <w:t xml:space="preserve">, không có tài sản là kho số viễn thông, tên miền internet. Vì </w:t>
            </w:r>
            <w:r w:rsidRPr="00830B5B">
              <w:rPr>
                <w:rFonts w:cs="Times New Roman"/>
                <w:color w:val="000000"/>
                <w:sz w:val="24"/>
                <w:shd w:val="clear" w:color="auto" w:fill="FFFFFF"/>
                <w:lang w:val="en-US"/>
              </w:rPr>
              <w:t>vậy, trong trường hợp chi phí cuộc đấu giá được tổ chức mà các khoản thu không đủ thì cần có nguồn kinh phí để tổ chức đấu giá. Dự thảo đưa ra quy định nhằm đảm bảo đủ kinh phí hoạt động tổ chức cuộc đấu giá.</w:t>
            </w:r>
          </w:p>
        </w:tc>
      </w:tr>
      <w:tr w:rsidR="00C640B5" w:rsidRPr="00830B5B" w14:paraId="0C5D36CE" w14:textId="77777777" w:rsidTr="00830B5B">
        <w:tc>
          <w:tcPr>
            <w:tcW w:w="671" w:type="dxa"/>
            <w:vMerge w:val="restart"/>
            <w:vAlign w:val="center"/>
          </w:tcPr>
          <w:p w14:paraId="07F55776" w14:textId="2AA332C7" w:rsidR="00C640B5" w:rsidRPr="00830B5B" w:rsidRDefault="00C640B5" w:rsidP="000E6F25">
            <w:pPr>
              <w:jc w:val="center"/>
              <w:rPr>
                <w:rFonts w:cs="Times New Roman"/>
                <w:b/>
                <w:sz w:val="24"/>
                <w:lang w:val="en-US"/>
              </w:rPr>
            </w:pPr>
            <w:r w:rsidRPr="00830B5B">
              <w:rPr>
                <w:rFonts w:cs="Times New Roman"/>
                <w:b/>
                <w:sz w:val="24"/>
                <w:lang w:val="en-US"/>
              </w:rPr>
              <w:t>14</w:t>
            </w:r>
          </w:p>
        </w:tc>
        <w:tc>
          <w:tcPr>
            <w:tcW w:w="1399" w:type="dxa"/>
            <w:vMerge w:val="restart"/>
          </w:tcPr>
          <w:p w14:paraId="16EB0E43" w14:textId="77777777" w:rsidR="00B1195C" w:rsidRPr="00830B5B" w:rsidRDefault="00B1195C" w:rsidP="00297B8A">
            <w:pPr>
              <w:spacing w:before="60" w:line="252" w:lineRule="auto"/>
              <w:jc w:val="left"/>
              <w:rPr>
                <w:rFonts w:cs="Times New Roman"/>
                <w:sz w:val="24"/>
                <w:lang w:val="nl-NL"/>
              </w:rPr>
            </w:pPr>
          </w:p>
          <w:p w14:paraId="73B2141F" w14:textId="6E94B111" w:rsidR="00C640B5" w:rsidRPr="00830B5B" w:rsidRDefault="00C640B5" w:rsidP="00297B8A">
            <w:pPr>
              <w:spacing w:before="60" w:line="252" w:lineRule="auto"/>
              <w:jc w:val="left"/>
              <w:rPr>
                <w:rFonts w:cs="Times New Roman"/>
                <w:sz w:val="24"/>
                <w:lang w:val="nl-NL"/>
              </w:rPr>
            </w:pPr>
            <w:r w:rsidRPr="00830B5B">
              <w:rPr>
                <w:rFonts w:cs="Times New Roman"/>
                <w:sz w:val="24"/>
                <w:lang w:val="nl-NL"/>
              </w:rPr>
              <w:t xml:space="preserve">Về phương pháp xác định giá khởi điểm  </w:t>
            </w:r>
          </w:p>
        </w:tc>
        <w:tc>
          <w:tcPr>
            <w:tcW w:w="1530" w:type="dxa"/>
            <w:vAlign w:val="center"/>
          </w:tcPr>
          <w:p w14:paraId="05745BA4" w14:textId="1D065F99" w:rsidR="00C640B5" w:rsidRPr="00830B5B" w:rsidRDefault="00C640B5" w:rsidP="000E6F25">
            <w:pPr>
              <w:spacing w:before="60" w:line="252" w:lineRule="auto"/>
              <w:rPr>
                <w:rFonts w:cs="Times New Roman"/>
                <w:sz w:val="24"/>
                <w:lang w:val="nl-NL"/>
              </w:rPr>
            </w:pPr>
            <w:r w:rsidRPr="00830B5B">
              <w:rPr>
                <w:rFonts w:cs="Times New Roman"/>
                <w:b/>
                <w:sz w:val="24"/>
                <w:lang w:val="en-US"/>
              </w:rPr>
              <w:t>Bộ Tài chính</w:t>
            </w:r>
          </w:p>
        </w:tc>
        <w:tc>
          <w:tcPr>
            <w:tcW w:w="6300" w:type="dxa"/>
          </w:tcPr>
          <w:p w14:paraId="44B292A0" w14:textId="77777777" w:rsidR="00C640B5" w:rsidRPr="00830B5B" w:rsidRDefault="00C640B5" w:rsidP="000E6F25">
            <w:pPr>
              <w:spacing w:before="60" w:line="252" w:lineRule="auto"/>
              <w:rPr>
                <w:rFonts w:cs="Times New Roman"/>
                <w:sz w:val="24"/>
                <w:lang w:val="nl-NL"/>
              </w:rPr>
            </w:pPr>
          </w:p>
          <w:p w14:paraId="11AFE071" w14:textId="77777777" w:rsidR="00C640B5" w:rsidRPr="00830B5B" w:rsidRDefault="00C640B5" w:rsidP="000E6F25">
            <w:pPr>
              <w:spacing w:before="60" w:line="252" w:lineRule="auto"/>
              <w:rPr>
                <w:rFonts w:cs="Times New Roman"/>
                <w:sz w:val="24"/>
                <w:lang w:val="nl-NL"/>
              </w:rPr>
            </w:pPr>
          </w:p>
          <w:p w14:paraId="41A2E99B" w14:textId="010C01ED" w:rsidR="00C640B5" w:rsidRPr="00830B5B" w:rsidRDefault="00C640B5" w:rsidP="000E6F25">
            <w:pPr>
              <w:spacing w:before="60" w:line="252" w:lineRule="auto"/>
              <w:rPr>
                <w:rFonts w:cs="Times New Roman"/>
                <w:sz w:val="24"/>
              </w:rPr>
            </w:pPr>
            <w:r w:rsidRPr="00830B5B">
              <w:rPr>
                <w:rFonts w:cs="Times New Roman"/>
                <w:sz w:val="24"/>
                <w:lang w:val="nl-NL"/>
              </w:rPr>
              <w:t xml:space="preserve"> Đề nghị bổ sung nguyên tắc định giá làm cơ sở pháp lý và cơ sở thực tiễn của việc quy định phương pháp xác định giá khởi điểm theo chỉ số GDP tại điểm b khoản 2 Điều 15 dự thảo; đồng </w:t>
            </w:r>
            <w:r w:rsidRPr="00830B5B">
              <w:rPr>
                <w:rFonts w:cs="Times New Roman"/>
                <w:sz w:val="24"/>
                <w:lang w:val="nl-NL"/>
              </w:rPr>
              <w:lastRenderedPageBreak/>
              <w:t>thời, đề nghị thuyết minh rõ các căn cứ của hệ số quy đổi quốc gia, vùng lãnh thổ, số liệu chứng minh mối tương quan giữa GDP và giá trị quyền sử dụng kho số viễn thông.</w:t>
            </w:r>
          </w:p>
        </w:tc>
        <w:tc>
          <w:tcPr>
            <w:tcW w:w="5923" w:type="dxa"/>
          </w:tcPr>
          <w:p w14:paraId="3D64E317" w14:textId="70C63D40" w:rsidR="00C640B5" w:rsidRPr="00830B5B" w:rsidRDefault="001C3C8F" w:rsidP="00A74348">
            <w:pPr>
              <w:spacing w:before="80" w:line="312" w:lineRule="auto"/>
              <w:rPr>
                <w:rFonts w:cs="Times New Roman"/>
                <w:b/>
                <w:sz w:val="24"/>
                <w:lang w:val="en-US"/>
              </w:rPr>
            </w:pPr>
            <w:r w:rsidRPr="00830B5B">
              <w:rPr>
                <w:rFonts w:cs="Times New Roman"/>
                <w:b/>
                <w:sz w:val="24"/>
                <w:lang w:val="en-US"/>
              </w:rPr>
              <w:lastRenderedPageBreak/>
              <w:t>Tiếp thu một phần</w:t>
            </w:r>
          </w:p>
          <w:p w14:paraId="78D16FF0" w14:textId="653547F1" w:rsidR="00C640B5" w:rsidRPr="00830B5B" w:rsidRDefault="00C640B5" w:rsidP="001C3C8F">
            <w:pPr>
              <w:rPr>
                <w:rFonts w:cs="Times New Roman"/>
                <w:sz w:val="24"/>
              </w:rPr>
            </w:pPr>
            <w:r w:rsidRPr="00830B5B">
              <w:rPr>
                <w:rFonts w:cs="Times New Roman"/>
                <w:b/>
                <w:sz w:val="24"/>
                <w:lang w:val="en-US"/>
              </w:rPr>
              <w:t>-</w:t>
            </w:r>
            <w:r w:rsidRPr="00830B5B">
              <w:rPr>
                <w:rFonts w:cs="Times New Roman"/>
                <w:sz w:val="24"/>
              </w:rPr>
              <w:t xml:space="preserve"> Tỷ số GDP</w:t>
            </w:r>
            <w:r w:rsidRPr="00830B5B">
              <w:rPr>
                <w:rFonts w:cs="Times New Roman"/>
                <w:sz w:val="24"/>
                <w:vertAlign w:val="subscript"/>
              </w:rPr>
              <w:t>vn</w:t>
            </w:r>
            <w:r w:rsidRPr="00830B5B">
              <w:rPr>
                <w:rFonts w:cs="Times New Roman"/>
                <w:sz w:val="24"/>
              </w:rPr>
              <w:t xml:space="preserve"> / GDP</w:t>
            </w:r>
            <w:r w:rsidRPr="00830B5B">
              <w:rPr>
                <w:rFonts w:cs="Times New Roman"/>
                <w:sz w:val="24"/>
                <w:vertAlign w:val="subscript"/>
              </w:rPr>
              <w:t>i</w:t>
            </w:r>
            <w:r w:rsidRPr="00830B5B">
              <w:rPr>
                <w:rFonts w:cs="Times New Roman"/>
                <w:sz w:val="24"/>
              </w:rPr>
              <w:t xml:space="preserve"> nhằm đảm bảo tính tương đồng giữa Việt Nam so với các quốc gia, vùng lãnh thổ được tham khảo trên cơ sở tình hình kinh tế, xã hội, thị trường viễn thông.</w:t>
            </w:r>
          </w:p>
          <w:p w14:paraId="15C0467F" w14:textId="50A3AAC0" w:rsidR="00C640B5" w:rsidRPr="00830B5B" w:rsidRDefault="00C640B5">
            <w:pPr>
              <w:rPr>
                <w:rFonts w:cs="Times New Roman"/>
                <w:b/>
                <w:sz w:val="24"/>
                <w:u w:val="single"/>
                <w:lang w:val="en-US"/>
              </w:rPr>
            </w:pPr>
          </w:p>
        </w:tc>
      </w:tr>
      <w:tr w:rsidR="00C640B5" w:rsidRPr="00830B5B" w14:paraId="6177405E" w14:textId="77777777" w:rsidTr="00830B5B">
        <w:tc>
          <w:tcPr>
            <w:tcW w:w="671" w:type="dxa"/>
            <w:vMerge/>
            <w:vAlign w:val="center"/>
          </w:tcPr>
          <w:p w14:paraId="6885A182" w14:textId="77777777" w:rsidR="00C640B5" w:rsidRPr="00830B5B" w:rsidRDefault="00C640B5" w:rsidP="00C640B5">
            <w:pPr>
              <w:jc w:val="center"/>
              <w:rPr>
                <w:rFonts w:cs="Times New Roman"/>
                <w:b/>
                <w:sz w:val="24"/>
                <w:lang w:val="en-US"/>
              </w:rPr>
            </w:pPr>
          </w:p>
        </w:tc>
        <w:tc>
          <w:tcPr>
            <w:tcW w:w="1399" w:type="dxa"/>
            <w:vMerge/>
          </w:tcPr>
          <w:p w14:paraId="6991D955" w14:textId="77777777" w:rsidR="00C640B5" w:rsidRPr="00830B5B" w:rsidRDefault="00C640B5" w:rsidP="00C640B5">
            <w:pPr>
              <w:spacing w:before="60" w:line="252" w:lineRule="auto"/>
              <w:jc w:val="left"/>
              <w:rPr>
                <w:rFonts w:cs="Times New Roman"/>
                <w:b/>
                <w:sz w:val="24"/>
                <w:lang w:val="nl-NL"/>
              </w:rPr>
            </w:pPr>
          </w:p>
        </w:tc>
        <w:tc>
          <w:tcPr>
            <w:tcW w:w="1530" w:type="dxa"/>
            <w:vAlign w:val="center"/>
          </w:tcPr>
          <w:p w14:paraId="1B4B7B4E" w14:textId="3714E934" w:rsidR="00C640B5" w:rsidRPr="00830B5B" w:rsidRDefault="00C640B5" w:rsidP="00C640B5">
            <w:pPr>
              <w:spacing w:before="60" w:line="252" w:lineRule="auto"/>
              <w:rPr>
                <w:rFonts w:cs="Times New Roman"/>
                <w:b/>
                <w:sz w:val="24"/>
                <w:lang w:val="en-US"/>
              </w:rPr>
            </w:pPr>
            <w:r w:rsidRPr="00830B5B">
              <w:rPr>
                <w:rFonts w:cs="Times New Roman"/>
                <w:b/>
                <w:sz w:val="24"/>
                <w:lang w:val="en-US"/>
              </w:rPr>
              <w:t>Viettel</w:t>
            </w:r>
          </w:p>
        </w:tc>
        <w:tc>
          <w:tcPr>
            <w:tcW w:w="6300" w:type="dxa"/>
          </w:tcPr>
          <w:p w14:paraId="38434D1A" w14:textId="77777777" w:rsidR="00C640B5" w:rsidRPr="00830B5B" w:rsidRDefault="00C640B5" w:rsidP="00C640B5">
            <w:pPr>
              <w:tabs>
                <w:tab w:val="left" w:pos="709"/>
              </w:tabs>
              <w:spacing w:before="120"/>
              <w:rPr>
                <w:rFonts w:cs="Times New Roman"/>
                <w:color w:val="000000"/>
                <w:sz w:val="24"/>
              </w:rPr>
            </w:pPr>
            <w:r w:rsidRPr="00830B5B">
              <w:rPr>
                <w:rFonts w:cs="Times New Roman"/>
                <w:color w:val="000000"/>
                <w:sz w:val="24"/>
              </w:rPr>
              <w:t xml:space="preserve">Việc xác định giá trúng đấu giá tham khảo </w:t>
            </w:r>
            <w:r w:rsidRPr="00830B5B">
              <w:rPr>
                <w:rFonts w:cs="Times New Roman"/>
                <w:i/>
                <w:color w:val="000000"/>
                <w:sz w:val="24"/>
              </w:rPr>
              <w:t>dựa trên của cùng loại số, cấu trúc số</w:t>
            </w:r>
            <w:r w:rsidRPr="00830B5B">
              <w:rPr>
                <w:rFonts w:cs="Times New Roman"/>
                <w:color w:val="000000"/>
                <w:sz w:val="24"/>
              </w:rPr>
              <w:t xml:space="preserve"> trong danh mục đấu giá.</w:t>
            </w:r>
          </w:p>
          <w:p w14:paraId="39C6289E" w14:textId="08F1B6CA" w:rsidR="00C640B5" w:rsidRPr="00830B5B" w:rsidRDefault="00C640B5" w:rsidP="00C640B5">
            <w:pPr>
              <w:spacing w:before="60" w:line="252" w:lineRule="auto"/>
              <w:rPr>
                <w:rFonts w:cs="Times New Roman"/>
                <w:sz w:val="24"/>
                <w:lang w:val="nl-NL"/>
              </w:rPr>
            </w:pPr>
            <w:r w:rsidRPr="00830B5B">
              <w:rPr>
                <w:rFonts w:cs="Times New Roman"/>
                <w:color w:val="000000"/>
                <w:sz w:val="24"/>
                <w:lang w:val="en-US"/>
              </w:rPr>
              <w:t>Lý do:</w:t>
            </w:r>
            <w:r w:rsidRPr="00830B5B">
              <w:rPr>
                <w:rFonts w:cs="Times New Roman"/>
                <w:sz w:val="24"/>
                <w:lang w:val="nl-NL"/>
              </w:rPr>
              <w:t xml:space="preserve"> Mỗi dạng cấu trúc mã, số có giá trị định giá khác nhau, do đó cần phải lấy theo định dạng tương đương để đưa vào tính toán</w:t>
            </w:r>
          </w:p>
        </w:tc>
        <w:tc>
          <w:tcPr>
            <w:tcW w:w="5923" w:type="dxa"/>
          </w:tcPr>
          <w:p w14:paraId="3BFE1CC7" w14:textId="77777777" w:rsidR="00C640B5" w:rsidRPr="00830B5B" w:rsidRDefault="00C640B5" w:rsidP="001C3C8F">
            <w:pPr>
              <w:rPr>
                <w:rFonts w:cs="Times New Roman"/>
                <w:b/>
                <w:sz w:val="24"/>
                <w:lang w:val="en-US"/>
              </w:rPr>
            </w:pPr>
            <w:r w:rsidRPr="00830B5B">
              <w:rPr>
                <w:rFonts w:cs="Times New Roman"/>
                <w:b/>
                <w:sz w:val="24"/>
              </w:rPr>
              <w:t>Tiếp thu</w:t>
            </w:r>
          </w:p>
          <w:p w14:paraId="1EA2DD61" w14:textId="77777777" w:rsidR="00C640B5" w:rsidRPr="00830B5B" w:rsidRDefault="00C640B5" w:rsidP="001C3C8F">
            <w:pPr>
              <w:rPr>
                <w:rFonts w:cs="Times New Roman"/>
                <w:sz w:val="24"/>
                <w:lang w:val="en-US"/>
              </w:rPr>
            </w:pPr>
            <w:r w:rsidRPr="00830B5B">
              <w:rPr>
                <w:rFonts w:cs="Times New Roman"/>
                <w:sz w:val="24"/>
                <w:lang w:val="en-US"/>
              </w:rPr>
              <w:t>Sửa đổi khoản 2 điều 15</w:t>
            </w:r>
          </w:p>
          <w:p w14:paraId="0211019B" w14:textId="691398F8" w:rsidR="00C640B5" w:rsidRPr="00830B5B" w:rsidRDefault="00C640B5" w:rsidP="001C3C8F">
            <w:pPr>
              <w:rPr>
                <w:rFonts w:cs="Times New Roman"/>
                <w:b/>
                <w:sz w:val="24"/>
                <w:lang w:val="en-US"/>
              </w:rPr>
            </w:pPr>
            <w:r w:rsidRPr="00830B5B">
              <w:rPr>
                <w:rFonts w:cs="Times New Roman"/>
                <w:spacing w:val="-4"/>
                <w:sz w:val="24"/>
              </w:rPr>
              <w:t>G</w:t>
            </w:r>
            <w:r w:rsidRPr="00830B5B">
              <w:rPr>
                <w:rFonts w:cs="Times New Roman"/>
                <w:spacing w:val="-4"/>
                <w:sz w:val="24"/>
                <w:vertAlign w:val="subscript"/>
              </w:rPr>
              <w:t>đgi</w:t>
            </w:r>
            <w:r w:rsidRPr="00830B5B">
              <w:rPr>
                <w:rFonts w:cs="Times New Roman"/>
                <w:spacing w:val="-4"/>
                <w:sz w:val="24"/>
              </w:rPr>
              <w:t xml:space="preserve"> là giá trúng đấu giá tham khảo của quốc gia thứ i hoặc doanh nghiệp viễn thông trong nước thứ i (i=1 – N) của cùng loại số, cấu trúc số tại thời điểm gần nhất </w:t>
            </w:r>
            <w:r w:rsidRPr="00830B5B">
              <w:rPr>
                <w:rFonts w:cs="Times New Roman"/>
                <w:spacing w:val="-8"/>
                <w:sz w:val="24"/>
              </w:rPr>
              <w:t>với thời điểm xác định giá khởi điểm</w:t>
            </w:r>
          </w:p>
        </w:tc>
      </w:tr>
      <w:tr w:rsidR="00C640B5" w:rsidRPr="00830B5B" w14:paraId="7C0F5C95" w14:textId="77777777" w:rsidTr="00830B5B">
        <w:tc>
          <w:tcPr>
            <w:tcW w:w="671" w:type="dxa"/>
            <w:vMerge/>
            <w:vAlign w:val="center"/>
          </w:tcPr>
          <w:p w14:paraId="2747AED0" w14:textId="77777777" w:rsidR="00C640B5" w:rsidRPr="00830B5B" w:rsidRDefault="00C640B5" w:rsidP="00C640B5">
            <w:pPr>
              <w:jc w:val="center"/>
              <w:rPr>
                <w:rFonts w:cs="Times New Roman"/>
                <w:b/>
                <w:sz w:val="24"/>
                <w:lang w:val="en-US"/>
              </w:rPr>
            </w:pPr>
          </w:p>
        </w:tc>
        <w:tc>
          <w:tcPr>
            <w:tcW w:w="1399" w:type="dxa"/>
            <w:vMerge/>
          </w:tcPr>
          <w:p w14:paraId="040A37A9" w14:textId="77777777" w:rsidR="00C640B5" w:rsidRPr="00830B5B" w:rsidRDefault="00C640B5" w:rsidP="00C640B5">
            <w:pPr>
              <w:spacing w:before="60" w:line="252" w:lineRule="auto"/>
              <w:jc w:val="left"/>
              <w:rPr>
                <w:rFonts w:cs="Times New Roman"/>
                <w:b/>
                <w:sz w:val="24"/>
                <w:lang w:val="nl-NL"/>
              </w:rPr>
            </w:pPr>
          </w:p>
        </w:tc>
        <w:tc>
          <w:tcPr>
            <w:tcW w:w="1530" w:type="dxa"/>
            <w:vAlign w:val="center"/>
          </w:tcPr>
          <w:p w14:paraId="17060D90" w14:textId="470834D4" w:rsidR="00C640B5" w:rsidRPr="00830B5B" w:rsidRDefault="00C640B5" w:rsidP="00C640B5">
            <w:pPr>
              <w:spacing w:before="60" w:line="252" w:lineRule="auto"/>
              <w:rPr>
                <w:rFonts w:cs="Times New Roman"/>
                <w:b/>
                <w:sz w:val="24"/>
                <w:lang w:val="en-US"/>
              </w:rPr>
            </w:pPr>
            <w:r w:rsidRPr="00830B5B">
              <w:rPr>
                <w:rFonts w:cs="Times New Roman"/>
                <w:b/>
                <w:sz w:val="24"/>
                <w:lang w:val="en-US"/>
              </w:rPr>
              <w:t>VNPT</w:t>
            </w:r>
          </w:p>
        </w:tc>
        <w:tc>
          <w:tcPr>
            <w:tcW w:w="6300" w:type="dxa"/>
          </w:tcPr>
          <w:p w14:paraId="5E430582" w14:textId="20DF737F" w:rsidR="00C640B5" w:rsidRPr="00830B5B" w:rsidRDefault="00C640B5" w:rsidP="00C640B5">
            <w:pPr>
              <w:tabs>
                <w:tab w:val="left" w:pos="709"/>
              </w:tabs>
              <w:spacing w:before="120"/>
              <w:rPr>
                <w:rFonts w:cs="Times New Roman"/>
                <w:color w:val="000000"/>
                <w:sz w:val="24"/>
              </w:rPr>
            </w:pPr>
            <w:r w:rsidRPr="00830B5B">
              <w:rPr>
                <w:rFonts w:cs="Times New Roman"/>
                <w:sz w:val="24"/>
              </w:rPr>
              <w:t>Đề nghị cho phép Doanh nghiệp viễn thông tự xác định giá khởi điểm tổ chức</w:t>
            </w:r>
            <w:r w:rsidRPr="00830B5B">
              <w:rPr>
                <w:rFonts w:cs="Times New Roman"/>
                <w:sz w:val="24"/>
                <w:lang w:val="en-US"/>
              </w:rPr>
              <w:t xml:space="preserve"> đấu giá</w:t>
            </w:r>
          </w:p>
        </w:tc>
        <w:tc>
          <w:tcPr>
            <w:tcW w:w="5923" w:type="dxa"/>
          </w:tcPr>
          <w:p w14:paraId="375E97BE" w14:textId="77777777" w:rsidR="00C640B5" w:rsidRPr="00830B5B" w:rsidRDefault="00C640B5" w:rsidP="00C640B5">
            <w:pPr>
              <w:rPr>
                <w:rFonts w:cs="Times New Roman"/>
                <w:b/>
                <w:sz w:val="24"/>
                <w:lang w:val="en-US"/>
              </w:rPr>
            </w:pPr>
            <w:r w:rsidRPr="00830B5B">
              <w:rPr>
                <w:rFonts w:cs="Times New Roman"/>
                <w:b/>
                <w:sz w:val="24"/>
                <w:lang w:val="en-US"/>
              </w:rPr>
              <w:t>Bảo lưu</w:t>
            </w:r>
          </w:p>
          <w:p w14:paraId="4C372EE8" w14:textId="42F02E3D" w:rsidR="00C640B5" w:rsidRPr="00830B5B" w:rsidRDefault="00C640B5" w:rsidP="00C640B5">
            <w:pPr>
              <w:spacing w:before="40" w:line="264" w:lineRule="auto"/>
              <w:rPr>
                <w:rFonts w:cs="Times New Roman"/>
                <w:b/>
                <w:sz w:val="24"/>
              </w:rPr>
            </w:pPr>
            <w:r w:rsidRPr="00830B5B">
              <w:rPr>
                <w:rFonts w:cs="Times New Roman"/>
                <w:sz w:val="24"/>
                <w:lang w:val="en-US"/>
              </w:rPr>
              <w:t>Giá khởi điểm do tổ chức thẩm định giá hoặc Hội đồng thẩm định giá xác định, Bộ TT&amp;TT phê duyệt</w:t>
            </w:r>
          </w:p>
        </w:tc>
      </w:tr>
      <w:tr w:rsidR="00B1195C" w:rsidRPr="00830B5B" w14:paraId="6EDD140A" w14:textId="77777777" w:rsidTr="00830B5B">
        <w:tc>
          <w:tcPr>
            <w:tcW w:w="671" w:type="dxa"/>
            <w:vMerge w:val="restart"/>
            <w:vAlign w:val="center"/>
          </w:tcPr>
          <w:p w14:paraId="6F0C26F1" w14:textId="11EA7641" w:rsidR="00B1195C" w:rsidRPr="00830B5B" w:rsidRDefault="00B1195C" w:rsidP="00C640B5">
            <w:pPr>
              <w:jc w:val="center"/>
              <w:rPr>
                <w:rFonts w:cs="Times New Roman"/>
                <w:b/>
                <w:sz w:val="24"/>
                <w:lang w:val="en-US"/>
              </w:rPr>
            </w:pPr>
            <w:r w:rsidRPr="00830B5B">
              <w:rPr>
                <w:rFonts w:cs="Times New Roman"/>
                <w:b/>
                <w:sz w:val="24"/>
                <w:lang w:val="en-US"/>
              </w:rPr>
              <w:t>15</w:t>
            </w:r>
          </w:p>
        </w:tc>
        <w:tc>
          <w:tcPr>
            <w:tcW w:w="1399" w:type="dxa"/>
            <w:vMerge w:val="restart"/>
          </w:tcPr>
          <w:p w14:paraId="74D35687" w14:textId="77777777" w:rsidR="00B1195C" w:rsidRPr="00830B5B" w:rsidRDefault="00B1195C" w:rsidP="00C640B5">
            <w:pPr>
              <w:spacing w:before="60" w:line="252" w:lineRule="auto"/>
              <w:rPr>
                <w:rFonts w:cs="Times New Roman"/>
                <w:b/>
                <w:sz w:val="24"/>
                <w:lang w:val="nl-NL"/>
              </w:rPr>
            </w:pPr>
          </w:p>
          <w:p w14:paraId="557A98BF" w14:textId="77777777" w:rsidR="00B1195C" w:rsidRPr="00830B5B" w:rsidRDefault="00B1195C" w:rsidP="00C640B5">
            <w:pPr>
              <w:spacing w:before="60" w:line="252" w:lineRule="auto"/>
              <w:jc w:val="left"/>
              <w:rPr>
                <w:rFonts w:cs="Times New Roman"/>
                <w:sz w:val="24"/>
                <w:lang w:val="nl-NL"/>
              </w:rPr>
            </w:pPr>
            <w:r w:rsidRPr="00830B5B">
              <w:rPr>
                <w:rFonts w:cs="Times New Roman"/>
                <w:sz w:val="24"/>
                <w:lang w:val="nl-NL"/>
              </w:rPr>
              <w:t>Về việc quy định Bộ Tài chính thẩm định giá khởi điểm</w:t>
            </w:r>
          </w:p>
          <w:p w14:paraId="5B42CD8C" w14:textId="77777777" w:rsidR="00B1195C" w:rsidRPr="00830B5B" w:rsidRDefault="00B1195C" w:rsidP="00C640B5">
            <w:pPr>
              <w:spacing w:before="60" w:line="252" w:lineRule="auto"/>
              <w:jc w:val="left"/>
              <w:rPr>
                <w:rFonts w:cs="Times New Roman"/>
                <w:sz w:val="24"/>
                <w:lang w:val="nl-NL"/>
              </w:rPr>
            </w:pPr>
          </w:p>
          <w:p w14:paraId="2CD45EDC" w14:textId="77777777" w:rsidR="00B1195C" w:rsidRPr="00830B5B" w:rsidRDefault="00B1195C" w:rsidP="00C640B5">
            <w:pPr>
              <w:spacing w:before="60" w:line="252" w:lineRule="auto"/>
              <w:jc w:val="left"/>
              <w:rPr>
                <w:rFonts w:cs="Times New Roman"/>
                <w:sz w:val="24"/>
                <w:lang w:val="nl-NL"/>
              </w:rPr>
            </w:pPr>
          </w:p>
          <w:p w14:paraId="6A47E015" w14:textId="77777777" w:rsidR="00B1195C" w:rsidRPr="00830B5B" w:rsidRDefault="00B1195C" w:rsidP="00C640B5">
            <w:pPr>
              <w:spacing w:before="60" w:line="252" w:lineRule="auto"/>
              <w:jc w:val="left"/>
              <w:rPr>
                <w:rFonts w:cs="Times New Roman"/>
                <w:sz w:val="24"/>
                <w:lang w:val="nl-NL"/>
              </w:rPr>
            </w:pPr>
          </w:p>
          <w:p w14:paraId="626C6E60" w14:textId="77777777" w:rsidR="00B1195C" w:rsidRPr="00830B5B" w:rsidRDefault="00B1195C" w:rsidP="00C640B5">
            <w:pPr>
              <w:spacing w:before="60" w:line="252" w:lineRule="auto"/>
              <w:jc w:val="left"/>
              <w:rPr>
                <w:rFonts w:cs="Times New Roman"/>
                <w:b/>
                <w:sz w:val="24"/>
                <w:lang w:val="nl-NL"/>
              </w:rPr>
            </w:pPr>
          </w:p>
          <w:p w14:paraId="49BB1610" w14:textId="3A1B4E6F" w:rsidR="00B1195C" w:rsidRPr="00830B5B" w:rsidRDefault="00B1195C" w:rsidP="00C640B5">
            <w:pPr>
              <w:spacing w:before="60" w:line="252" w:lineRule="auto"/>
              <w:jc w:val="left"/>
              <w:rPr>
                <w:rFonts w:cs="Times New Roman"/>
                <w:sz w:val="24"/>
                <w:lang w:val="nl-NL"/>
              </w:rPr>
            </w:pPr>
          </w:p>
        </w:tc>
        <w:tc>
          <w:tcPr>
            <w:tcW w:w="1530" w:type="dxa"/>
            <w:vAlign w:val="center"/>
          </w:tcPr>
          <w:p w14:paraId="15241A74" w14:textId="188E403C" w:rsidR="00B1195C" w:rsidRPr="00830B5B" w:rsidRDefault="00B1195C" w:rsidP="00C640B5">
            <w:pPr>
              <w:spacing w:before="60" w:line="252" w:lineRule="auto"/>
              <w:rPr>
                <w:rFonts w:cs="Times New Roman"/>
                <w:sz w:val="24"/>
                <w:lang w:val="nl-NL"/>
              </w:rPr>
            </w:pPr>
            <w:r w:rsidRPr="00830B5B">
              <w:rPr>
                <w:rFonts w:cs="Times New Roman"/>
                <w:b/>
                <w:sz w:val="24"/>
                <w:lang w:val="en-US"/>
              </w:rPr>
              <w:t>Bộ Tài chính</w:t>
            </w:r>
          </w:p>
        </w:tc>
        <w:tc>
          <w:tcPr>
            <w:tcW w:w="6300" w:type="dxa"/>
          </w:tcPr>
          <w:p w14:paraId="495FD76E" w14:textId="09085301" w:rsidR="00B1195C" w:rsidRPr="00830B5B" w:rsidRDefault="00B1195C" w:rsidP="00C640B5">
            <w:pPr>
              <w:spacing w:before="60" w:line="252" w:lineRule="auto"/>
              <w:rPr>
                <w:rFonts w:cs="Times New Roman"/>
                <w:sz w:val="24"/>
              </w:rPr>
            </w:pPr>
            <w:r w:rsidRPr="00830B5B">
              <w:rPr>
                <w:rFonts w:cs="Times New Roman"/>
                <w:sz w:val="24"/>
                <w:lang w:val="nl-NL"/>
              </w:rPr>
              <w:t>Đề nghị bỏ cụm từ ‘</w:t>
            </w:r>
            <w:r w:rsidRPr="00830B5B">
              <w:rPr>
                <w:rFonts w:cs="Times New Roman"/>
                <w:i/>
                <w:sz w:val="24"/>
                <w:lang w:val="nl-NL"/>
              </w:rPr>
              <w:t>theo hướng dẫn của Bộ Tài chính”</w:t>
            </w:r>
            <w:r w:rsidRPr="00830B5B">
              <w:rPr>
                <w:rFonts w:cs="Times New Roman"/>
                <w:sz w:val="24"/>
                <w:lang w:val="nl-NL"/>
              </w:rPr>
              <w:t xml:space="preserve"> tại điểm b khoản 3 Điều 15 dự thảo Quyết định. vì Luật Giá và các văn bản hướng dẫn đã quy định đầy đủ, chi tiết về Hội đồng thẩm định giá của Nhà nước, Bộ Tài chính không có trách nhiệm, quyền hạn trong việc xác định cụ thể thay cho vai trò của Hội đồng thẩm định giá Nhà nước.</w:t>
            </w:r>
          </w:p>
        </w:tc>
        <w:tc>
          <w:tcPr>
            <w:tcW w:w="5923" w:type="dxa"/>
          </w:tcPr>
          <w:p w14:paraId="7CD863AF" w14:textId="77777777" w:rsidR="00B1195C" w:rsidRPr="00830B5B" w:rsidRDefault="00B1195C" w:rsidP="00C640B5">
            <w:pPr>
              <w:rPr>
                <w:rFonts w:cs="Times New Roman"/>
                <w:b/>
                <w:sz w:val="24"/>
                <w:lang w:val="en-US"/>
              </w:rPr>
            </w:pPr>
            <w:r w:rsidRPr="00830B5B">
              <w:rPr>
                <w:rFonts w:cs="Times New Roman"/>
                <w:b/>
                <w:sz w:val="24"/>
                <w:lang w:val="en-US"/>
              </w:rPr>
              <w:t>Tiếp thu</w:t>
            </w:r>
          </w:p>
          <w:p w14:paraId="147530C8" w14:textId="70A4F890" w:rsidR="00B1195C" w:rsidRPr="00830B5B" w:rsidRDefault="00B1195C" w:rsidP="00C640B5">
            <w:pPr>
              <w:rPr>
                <w:rFonts w:cs="Times New Roman"/>
                <w:b/>
                <w:sz w:val="24"/>
                <w:lang w:val="en-US"/>
              </w:rPr>
            </w:pPr>
          </w:p>
        </w:tc>
      </w:tr>
      <w:tr w:rsidR="00B1195C" w:rsidRPr="00830B5B" w14:paraId="192FD142" w14:textId="77777777" w:rsidTr="00830B5B">
        <w:tc>
          <w:tcPr>
            <w:tcW w:w="671" w:type="dxa"/>
            <w:vMerge/>
            <w:vAlign w:val="center"/>
          </w:tcPr>
          <w:p w14:paraId="3256A3FE" w14:textId="089DE7AC" w:rsidR="00B1195C" w:rsidRPr="00830B5B" w:rsidRDefault="00B1195C" w:rsidP="00C640B5">
            <w:pPr>
              <w:jc w:val="center"/>
              <w:rPr>
                <w:rFonts w:cs="Times New Roman"/>
                <w:b/>
                <w:sz w:val="24"/>
                <w:lang w:val="en-US"/>
              </w:rPr>
            </w:pPr>
          </w:p>
        </w:tc>
        <w:tc>
          <w:tcPr>
            <w:tcW w:w="1399" w:type="dxa"/>
            <w:vMerge/>
          </w:tcPr>
          <w:p w14:paraId="2353BD00" w14:textId="1B3ACEC6" w:rsidR="00B1195C" w:rsidRPr="00830B5B" w:rsidRDefault="00B1195C" w:rsidP="00C640B5">
            <w:pPr>
              <w:spacing w:before="60" w:line="252" w:lineRule="auto"/>
              <w:jc w:val="left"/>
              <w:rPr>
                <w:rFonts w:cs="Times New Roman"/>
                <w:b/>
                <w:sz w:val="24"/>
                <w:lang w:val="nl-NL"/>
              </w:rPr>
            </w:pPr>
          </w:p>
        </w:tc>
        <w:tc>
          <w:tcPr>
            <w:tcW w:w="1530" w:type="dxa"/>
            <w:vAlign w:val="center"/>
          </w:tcPr>
          <w:p w14:paraId="126FCD70" w14:textId="40C3080C" w:rsidR="00B1195C" w:rsidRPr="00830B5B" w:rsidRDefault="00B1195C" w:rsidP="00C640B5">
            <w:pPr>
              <w:spacing w:before="60" w:line="252" w:lineRule="auto"/>
              <w:rPr>
                <w:rFonts w:cs="Times New Roman"/>
                <w:sz w:val="24"/>
                <w:lang w:val="nl-NL"/>
              </w:rPr>
            </w:pPr>
            <w:r w:rsidRPr="00830B5B">
              <w:rPr>
                <w:rFonts w:cs="Times New Roman"/>
                <w:b/>
                <w:sz w:val="24"/>
                <w:lang w:val="en-US"/>
              </w:rPr>
              <w:t>Bộ Tài chính</w:t>
            </w:r>
          </w:p>
        </w:tc>
        <w:tc>
          <w:tcPr>
            <w:tcW w:w="6300" w:type="dxa"/>
          </w:tcPr>
          <w:p w14:paraId="4425DD38" w14:textId="7E9F23A4" w:rsidR="00B1195C" w:rsidRPr="00830B5B" w:rsidRDefault="00B1195C" w:rsidP="00C640B5">
            <w:pPr>
              <w:spacing w:before="60" w:line="252" w:lineRule="auto"/>
              <w:rPr>
                <w:rFonts w:cs="Times New Roman"/>
                <w:sz w:val="24"/>
                <w:lang w:val="nl-NL"/>
              </w:rPr>
            </w:pPr>
            <w:r w:rsidRPr="00830B5B">
              <w:rPr>
                <w:rFonts w:cs="Times New Roman"/>
                <w:sz w:val="24"/>
                <w:lang w:val="nl-NL"/>
              </w:rPr>
              <w:t>Kho số viễn thông, tên miền Internet là tài sản công có tính chuyên môn, chuyên ngành cao, việc xác định giá đòi hỏi trình độ, am hiểu về lĩnh vực và kinh nghiệm quản lý trong khi Bộ Tài chính không có chuyên môn trong lĩnh vực này.</w:t>
            </w:r>
          </w:p>
          <w:p w14:paraId="7BA4957E" w14:textId="77777777" w:rsidR="00B1195C" w:rsidRPr="00830B5B" w:rsidRDefault="00B1195C" w:rsidP="00C640B5">
            <w:pPr>
              <w:spacing w:before="60" w:line="252" w:lineRule="auto"/>
              <w:rPr>
                <w:rFonts w:cs="Times New Roman"/>
                <w:sz w:val="24"/>
                <w:lang w:val="nl-NL"/>
              </w:rPr>
            </w:pPr>
            <w:r w:rsidRPr="00830B5B">
              <w:rPr>
                <w:rFonts w:cs="Times New Roman"/>
                <w:sz w:val="24"/>
                <w:lang w:val="nl-NL"/>
              </w:rPr>
              <w:t xml:space="preserve">+ Theo quy định tại điểm c khoản 2 Điều 42 Luật Giá năm 2012 thì doanh nghiệp thẩm định giá chịu trách nhiệm về tính chính xác, trung thực, khách quan của kết quả thẩm định giá; </w:t>
            </w:r>
          </w:p>
          <w:p w14:paraId="7407EF0B" w14:textId="77777777" w:rsidR="00B1195C" w:rsidRPr="00830B5B" w:rsidRDefault="00B1195C" w:rsidP="00C640B5">
            <w:pPr>
              <w:spacing w:before="60" w:line="252" w:lineRule="auto"/>
              <w:rPr>
                <w:rFonts w:cs="Times New Roman"/>
                <w:sz w:val="24"/>
                <w:lang w:val="nl-NL"/>
              </w:rPr>
            </w:pPr>
            <w:r w:rsidRPr="00830B5B">
              <w:rPr>
                <w:rFonts w:cs="Times New Roman"/>
                <w:sz w:val="24"/>
                <w:lang w:val="nl-NL"/>
              </w:rPr>
              <w:t xml:space="preserve">+ Theo quy định tại Điều 45 Luật Giá và Nghị định số 89/2013/NĐ-CP hướng dẫn Luật Giá thì Hội đồng thẩm định giá Nhà nước có trách nhiệm thẩm định giá theo quy định của Luật này, quy định khác của pháp luật có liên quan và chịu trách </w:t>
            </w:r>
            <w:r w:rsidRPr="00830B5B">
              <w:rPr>
                <w:rFonts w:cs="Times New Roman"/>
                <w:sz w:val="24"/>
                <w:lang w:val="nl-NL"/>
              </w:rPr>
              <w:lastRenderedPageBreak/>
              <w:t xml:space="preserve">nhiệm về tính chính xác, trung thực của kết quả thẩm định giá; đồng thời, Nghị định số 89/2013/NĐ-CP cũng đã quy định các Bộ tổ chức thực hiện thẩm định giá tài sản nhà nước thuộc Bộ quản lý theo quy định về phân cấp quản lý, sử dụng tài sản nhà nước. Kho số viễn thông, tên miền Internet là tài sản nhà nước do </w:t>
            </w:r>
            <w:r w:rsidRPr="00830B5B">
              <w:rPr>
                <w:rFonts w:cs="Times New Roman"/>
                <w:sz w:val="24"/>
              </w:rPr>
              <w:t xml:space="preserve">Bộ Thông tin và Truyền thông </w:t>
            </w:r>
            <w:r w:rsidRPr="00830B5B">
              <w:rPr>
                <w:rFonts w:cs="Times New Roman"/>
                <w:sz w:val="24"/>
                <w:lang w:val="nl-NL"/>
              </w:rPr>
              <w:t xml:space="preserve">quản lý. Vì vậy, </w:t>
            </w:r>
            <w:r w:rsidRPr="00830B5B">
              <w:rPr>
                <w:rFonts w:cs="Times New Roman"/>
                <w:sz w:val="24"/>
              </w:rPr>
              <w:t xml:space="preserve">Bộ Thông tin và Truyền thông </w:t>
            </w:r>
            <w:r w:rsidRPr="00830B5B">
              <w:rPr>
                <w:rFonts w:cs="Times New Roman"/>
                <w:sz w:val="24"/>
                <w:lang w:val="nl-NL"/>
              </w:rPr>
              <w:t>chịu trách nhiệm tổ chức thẩm định, quyết định giá tài sản.</w:t>
            </w:r>
          </w:p>
          <w:p w14:paraId="6F2A1785" w14:textId="15189D69" w:rsidR="00B1195C" w:rsidRPr="00830B5B" w:rsidRDefault="00B1195C" w:rsidP="00C640B5">
            <w:pPr>
              <w:spacing w:before="60" w:line="252" w:lineRule="auto"/>
              <w:rPr>
                <w:rFonts w:cs="Times New Roman"/>
                <w:sz w:val="24"/>
              </w:rPr>
            </w:pPr>
            <w:r w:rsidRPr="00830B5B">
              <w:rPr>
                <w:rFonts w:cs="Times New Roman"/>
                <w:sz w:val="24"/>
                <w:lang w:val="nl-NL"/>
              </w:rPr>
              <w:t>Do đó, đề nghị không quy định việc xin ý kiến thẩm định của Bộ Tài chính về kết quả thẩm định giá do tổ chức thẩm định giá/Hội đồng thẩm định giá Nhà nước như tại dự thảo Quyết định.</w:t>
            </w:r>
          </w:p>
        </w:tc>
        <w:tc>
          <w:tcPr>
            <w:tcW w:w="5923" w:type="dxa"/>
          </w:tcPr>
          <w:p w14:paraId="3CD52D7F" w14:textId="5F6B3298" w:rsidR="00B1195C" w:rsidRPr="00830B5B" w:rsidRDefault="00B1195C" w:rsidP="00C640B5">
            <w:pPr>
              <w:rPr>
                <w:rFonts w:cs="Times New Roman"/>
                <w:b/>
                <w:sz w:val="24"/>
                <w:lang w:val="en-US"/>
              </w:rPr>
            </w:pPr>
            <w:r w:rsidRPr="00830B5B">
              <w:rPr>
                <w:rFonts w:cs="Times New Roman"/>
                <w:b/>
                <w:sz w:val="24"/>
                <w:lang w:val="en-US"/>
              </w:rPr>
              <w:lastRenderedPageBreak/>
              <w:t>Tiếp thu</w:t>
            </w:r>
          </w:p>
          <w:p w14:paraId="68F1A40F" w14:textId="77777777" w:rsidR="00B1195C" w:rsidRPr="00830B5B" w:rsidRDefault="00B1195C" w:rsidP="00C640B5">
            <w:pPr>
              <w:rPr>
                <w:rFonts w:cs="Times New Roman"/>
                <w:b/>
                <w:sz w:val="24"/>
                <w:lang w:val="en-US"/>
              </w:rPr>
            </w:pPr>
          </w:p>
        </w:tc>
      </w:tr>
      <w:tr w:rsidR="00C640B5" w:rsidRPr="00830B5B" w14:paraId="24A15E9D" w14:textId="77777777" w:rsidTr="00830B5B">
        <w:trPr>
          <w:trHeight w:val="3312"/>
        </w:trPr>
        <w:tc>
          <w:tcPr>
            <w:tcW w:w="671" w:type="dxa"/>
            <w:vAlign w:val="center"/>
          </w:tcPr>
          <w:p w14:paraId="5A7B837A" w14:textId="7A1283F5" w:rsidR="00C640B5" w:rsidRPr="00830B5B" w:rsidRDefault="00C640B5" w:rsidP="00C640B5">
            <w:pPr>
              <w:jc w:val="center"/>
              <w:rPr>
                <w:rFonts w:cs="Times New Roman"/>
                <w:b/>
                <w:sz w:val="24"/>
                <w:lang w:val="en-US"/>
              </w:rPr>
            </w:pPr>
            <w:r w:rsidRPr="00830B5B">
              <w:rPr>
                <w:rFonts w:cs="Times New Roman"/>
                <w:b/>
                <w:sz w:val="24"/>
                <w:lang w:val="en-US"/>
              </w:rPr>
              <w:t>16</w:t>
            </w:r>
          </w:p>
        </w:tc>
        <w:tc>
          <w:tcPr>
            <w:tcW w:w="1399" w:type="dxa"/>
          </w:tcPr>
          <w:p w14:paraId="47560109" w14:textId="77777777" w:rsidR="00C640B5" w:rsidRPr="00830B5B" w:rsidRDefault="00C640B5" w:rsidP="00C640B5">
            <w:pPr>
              <w:spacing w:before="60" w:line="252" w:lineRule="auto"/>
              <w:jc w:val="left"/>
              <w:rPr>
                <w:rFonts w:cs="Times New Roman"/>
                <w:sz w:val="24"/>
                <w:lang w:val="nl-NL"/>
              </w:rPr>
            </w:pPr>
          </w:p>
          <w:p w14:paraId="49728F95" w14:textId="77777777" w:rsidR="00C640B5" w:rsidRPr="00830B5B" w:rsidRDefault="00C640B5" w:rsidP="00C640B5">
            <w:pPr>
              <w:spacing w:before="60" w:line="252" w:lineRule="auto"/>
              <w:jc w:val="left"/>
              <w:rPr>
                <w:rFonts w:cs="Times New Roman"/>
                <w:sz w:val="24"/>
                <w:lang w:val="nl-NL"/>
              </w:rPr>
            </w:pPr>
          </w:p>
          <w:p w14:paraId="4AFB34C0" w14:textId="77777777" w:rsidR="00C640B5" w:rsidRPr="00830B5B" w:rsidRDefault="00C640B5" w:rsidP="00C640B5">
            <w:pPr>
              <w:spacing w:before="60" w:line="252" w:lineRule="auto"/>
              <w:jc w:val="left"/>
              <w:rPr>
                <w:rFonts w:cs="Times New Roman"/>
                <w:sz w:val="24"/>
                <w:lang w:val="nl-NL"/>
              </w:rPr>
            </w:pPr>
          </w:p>
          <w:p w14:paraId="6833F0D6" w14:textId="150836D9" w:rsidR="00C640B5" w:rsidRPr="00830B5B" w:rsidRDefault="00C640B5" w:rsidP="00C640B5">
            <w:pPr>
              <w:spacing w:before="60" w:line="252" w:lineRule="auto"/>
              <w:jc w:val="left"/>
              <w:rPr>
                <w:rFonts w:cs="Times New Roman"/>
                <w:sz w:val="24"/>
                <w:lang w:val="nl-NL"/>
              </w:rPr>
            </w:pPr>
            <w:r w:rsidRPr="00830B5B">
              <w:rPr>
                <w:rFonts w:cs="Times New Roman"/>
                <w:sz w:val="24"/>
                <w:lang w:val="nl-NL"/>
              </w:rPr>
              <w:t>Về thời hạn hiệu lực của thẩm định giá</w:t>
            </w:r>
          </w:p>
        </w:tc>
        <w:tc>
          <w:tcPr>
            <w:tcW w:w="1530" w:type="dxa"/>
            <w:vAlign w:val="center"/>
          </w:tcPr>
          <w:p w14:paraId="4B102C6A" w14:textId="37AA768B" w:rsidR="00C640B5" w:rsidRPr="00830B5B" w:rsidRDefault="00C640B5" w:rsidP="00C640B5">
            <w:pPr>
              <w:spacing w:before="60" w:line="252" w:lineRule="auto"/>
              <w:rPr>
                <w:rFonts w:cs="Times New Roman"/>
                <w:sz w:val="24"/>
                <w:lang w:val="nl-NL"/>
              </w:rPr>
            </w:pPr>
            <w:r w:rsidRPr="00830B5B">
              <w:rPr>
                <w:rFonts w:cs="Times New Roman"/>
                <w:b/>
                <w:sz w:val="24"/>
                <w:lang w:val="en-US"/>
              </w:rPr>
              <w:t>Bộ Tài chính</w:t>
            </w:r>
          </w:p>
        </w:tc>
        <w:tc>
          <w:tcPr>
            <w:tcW w:w="6300" w:type="dxa"/>
          </w:tcPr>
          <w:p w14:paraId="1EF4F531" w14:textId="77777777" w:rsidR="00C640B5" w:rsidRPr="00830B5B" w:rsidRDefault="00C640B5" w:rsidP="00C640B5">
            <w:pPr>
              <w:spacing w:before="60" w:line="252" w:lineRule="auto"/>
              <w:rPr>
                <w:rFonts w:cs="Times New Roman"/>
                <w:sz w:val="24"/>
                <w:lang w:val="nl-NL"/>
              </w:rPr>
            </w:pPr>
          </w:p>
          <w:p w14:paraId="366F181E" w14:textId="77777777" w:rsidR="00C640B5" w:rsidRPr="00830B5B" w:rsidRDefault="00C640B5" w:rsidP="00C640B5">
            <w:pPr>
              <w:spacing w:before="60" w:line="252" w:lineRule="auto"/>
              <w:rPr>
                <w:rFonts w:cs="Times New Roman"/>
                <w:sz w:val="24"/>
                <w:lang w:val="nl-NL"/>
              </w:rPr>
            </w:pPr>
          </w:p>
          <w:p w14:paraId="5EFCFD08" w14:textId="77777777" w:rsidR="00C640B5" w:rsidRPr="00830B5B" w:rsidRDefault="00C640B5" w:rsidP="00C640B5">
            <w:pPr>
              <w:spacing w:before="60" w:line="252" w:lineRule="auto"/>
              <w:rPr>
                <w:rFonts w:cs="Times New Roman"/>
                <w:sz w:val="24"/>
                <w:lang w:val="nl-NL"/>
              </w:rPr>
            </w:pPr>
          </w:p>
          <w:p w14:paraId="2A83F659" w14:textId="77777777" w:rsidR="00C640B5" w:rsidRPr="00830B5B" w:rsidRDefault="00C640B5" w:rsidP="00C640B5">
            <w:pPr>
              <w:spacing w:before="60" w:line="252" w:lineRule="auto"/>
              <w:rPr>
                <w:rFonts w:cs="Times New Roman"/>
                <w:sz w:val="24"/>
                <w:lang w:val="nl-NL"/>
              </w:rPr>
            </w:pPr>
          </w:p>
          <w:p w14:paraId="0E91CF60" w14:textId="2DB54A6D" w:rsidR="00C640B5" w:rsidRPr="00830B5B" w:rsidRDefault="00C640B5" w:rsidP="00C640B5">
            <w:pPr>
              <w:spacing w:before="60" w:line="252" w:lineRule="auto"/>
              <w:rPr>
                <w:rFonts w:cs="Times New Roman"/>
                <w:sz w:val="24"/>
              </w:rPr>
            </w:pPr>
            <w:r w:rsidRPr="00830B5B">
              <w:rPr>
                <w:rFonts w:cs="Times New Roman"/>
                <w:sz w:val="24"/>
                <w:lang w:val="nl-NL"/>
              </w:rPr>
              <w:t xml:space="preserve"> Tại khoản 4 Điều 15 dự thảo: Đề nghị rà soát về cơ sở quy định giá khởi điểm có hiệu lực tối đa 2 năm. </w:t>
            </w:r>
          </w:p>
        </w:tc>
        <w:tc>
          <w:tcPr>
            <w:tcW w:w="5923" w:type="dxa"/>
          </w:tcPr>
          <w:p w14:paraId="78CAE770" w14:textId="1F41356F" w:rsidR="00C640B5" w:rsidRPr="00830B5B" w:rsidRDefault="002F51EF" w:rsidP="00C640B5">
            <w:pPr>
              <w:rPr>
                <w:rFonts w:cs="Times New Roman"/>
                <w:sz w:val="24"/>
                <w:lang w:val="en-US"/>
              </w:rPr>
            </w:pPr>
            <w:r w:rsidRPr="00830B5B">
              <w:rPr>
                <w:rFonts w:cs="Times New Roman"/>
                <w:b/>
                <w:sz w:val="24"/>
                <w:lang w:val="en-US"/>
              </w:rPr>
              <w:t>Tiếp thu</w:t>
            </w:r>
          </w:p>
          <w:p w14:paraId="4D188ACC" w14:textId="77777777" w:rsidR="0059772A" w:rsidRPr="00830B5B" w:rsidRDefault="0059772A">
            <w:pPr>
              <w:rPr>
                <w:rFonts w:cs="Times New Roman"/>
                <w:bCs/>
                <w:sz w:val="24"/>
                <w:lang w:val="en-US"/>
              </w:rPr>
            </w:pPr>
            <w:bookmarkStart w:id="2" w:name="_Hlk52749118"/>
          </w:p>
          <w:p w14:paraId="03CB2D9C" w14:textId="3A5FDA90" w:rsidR="00486766" w:rsidRPr="00830B5B" w:rsidRDefault="0059772A" w:rsidP="0059772A">
            <w:pPr>
              <w:rPr>
                <w:rFonts w:cs="Times New Roman"/>
                <w:bCs/>
                <w:sz w:val="24"/>
                <w:lang w:val="en-US"/>
              </w:rPr>
            </w:pPr>
            <w:r w:rsidRPr="00830B5B">
              <w:rPr>
                <w:rFonts w:cs="Times New Roman"/>
                <w:bCs/>
                <w:sz w:val="24"/>
                <w:lang w:val="en-US"/>
              </w:rPr>
              <w:t xml:space="preserve">Bỏ khoản 4 điều 15 dự thảo, </w:t>
            </w:r>
            <w:r w:rsidR="00486766" w:rsidRPr="00830B5B">
              <w:rPr>
                <w:rFonts w:cs="Times New Roman"/>
                <w:bCs/>
                <w:sz w:val="24"/>
                <w:lang w:val="en-US"/>
              </w:rPr>
              <w:t xml:space="preserve">hiệu lực của giá khởi điểm </w:t>
            </w:r>
            <w:r w:rsidR="00012D94" w:rsidRPr="00830B5B">
              <w:rPr>
                <w:rFonts w:cs="Times New Roman"/>
                <w:bCs/>
                <w:sz w:val="24"/>
                <w:lang w:val="en-US"/>
              </w:rPr>
              <w:t xml:space="preserve">để đấu giá sẽ thực hiện </w:t>
            </w:r>
            <w:r w:rsidRPr="00830B5B">
              <w:rPr>
                <w:rFonts w:cs="Times New Roman"/>
                <w:bCs/>
                <w:sz w:val="24"/>
                <w:lang w:val="en-US"/>
              </w:rPr>
              <w:t>theo quy định hiện hành</w:t>
            </w:r>
            <w:r w:rsidR="00486766" w:rsidRPr="00830B5B">
              <w:rPr>
                <w:rFonts w:cs="Times New Roman"/>
                <w:bCs/>
                <w:sz w:val="24"/>
                <w:lang w:val="en-US"/>
              </w:rPr>
              <w:t xml:space="preserve"> </w:t>
            </w:r>
            <w:bookmarkEnd w:id="2"/>
          </w:p>
        </w:tc>
      </w:tr>
      <w:tr w:rsidR="00C640B5" w:rsidRPr="00830B5B" w14:paraId="5751FE6E" w14:textId="77777777" w:rsidTr="00830B5B">
        <w:tc>
          <w:tcPr>
            <w:tcW w:w="671" w:type="dxa"/>
            <w:vMerge w:val="restart"/>
            <w:vAlign w:val="center"/>
          </w:tcPr>
          <w:p w14:paraId="5DB77590" w14:textId="1C072A97" w:rsidR="00C640B5" w:rsidRPr="00830B5B" w:rsidRDefault="00C640B5" w:rsidP="00C640B5">
            <w:pPr>
              <w:jc w:val="center"/>
              <w:rPr>
                <w:rFonts w:cs="Times New Roman"/>
                <w:b/>
                <w:sz w:val="24"/>
                <w:lang w:val="en-US"/>
              </w:rPr>
            </w:pPr>
            <w:r w:rsidRPr="00830B5B">
              <w:rPr>
                <w:rFonts w:cs="Times New Roman"/>
                <w:b/>
                <w:sz w:val="24"/>
                <w:lang w:val="en-US"/>
              </w:rPr>
              <w:t>17</w:t>
            </w:r>
          </w:p>
        </w:tc>
        <w:tc>
          <w:tcPr>
            <w:tcW w:w="1399" w:type="dxa"/>
            <w:vMerge w:val="restart"/>
          </w:tcPr>
          <w:p w14:paraId="631F1D51" w14:textId="772CEB82" w:rsidR="00C640B5" w:rsidRPr="00830B5B" w:rsidRDefault="00C640B5" w:rsidP="00C640B5">
            <w:pPr>
              <w:spacing w:before="60"/>
              <w:jc w:val="left"/>
              <w:rPr>
                <w:rFonts w:cs="Times New Roman"/>
                <w:sz w:val="24"/>
                <w:lang w:val="en-US"/>
              </w:rPr>
            </w:pPr>
            <w:r w:rsidRPr="00830B5B">
              <w:rPr>
                <w:rFonts w:cs="Times New Roman"/>
                <w:sz w:val="24"/>
                <w:lang w:val="en-US"/>
              </w:rPr>
              <w:t>Về quản lý, sử dụng số tiền trúng đấu giá</w:t>
            </w:r>
          </w:p>
        </w:tc>
        <w:tc>
          <w:tcPr>
            <w:tcW w:w="1530" w:type="dxa"/>
            <w:vAlign w:val="center"/>
          </w:tcPr>
          <w:p w14:paraId="6CBDBEB5" w14:textId="21927423" w:rsidR="00C640B5" w:rsidRPr="00830B5B" w:rsidRDefault="00C640B5" w:rsidP="00C640B5">
            <w:pPr>
              <w:spacing w:before="60"/>
              <w:rPr>
                <w:rFonts w:cs="Times New Roman"/>
                <w:sz w:val="24"/>
                <w:lang w:val="en-US"/>
              </w:rPr>
            </w:pPr>
            <w:r w:rsidRPr="00830B5B">
              <w:rPr>
                <w:rFonts w:cs="Times New Roman"/>
                <w:b/>
                <w:sz w:val="24"/>
                <w:lang w:val="en-US"/>
              </w:rPr>
              <w:t>Bộ Tài chính</w:t>
            </w:r>
          </w:p>
        </w:tc>
        <w:tc>
          <w:tcPr>
            <w:tcW w:w="6300" w:type="dxa"/>
          </w:tcPr>
          <w:p w14:paraId="72FBD070" w14:textId="21FFC4A7" w:rsidR="00C640B5" w:rsidRPr="00830B5B" w:rsidRDefault="00C640B5" w:rsidP="00C640B5">
            <w:pPr>
              <w:spacing w:before="60"/>
              <w:rPr>
                <w:rFonts w:cs="Times New Roman"/>
                <w:i/>
                <w:sz w:val="24"/>
              </w:rPr>
            </w:pPr>
            <w:r w:rsidRPr="00830B5B">
              <w:rPr>
                <w:rFonts w:cs="Times New Roman"/>
                <w:sz w:val="24"/>
                <w:lang w:val="en-US"/>
              </w:rPr>
              <w:t>C</w:t>
            </w:r>
            <w:r w:rsidRPr="00830B5B">
              <w:rPr>
                <w:rFonts w:cs="Times New Roman"/>
                <w:sz w:val="24"/>
              </w:rPr>
              <w:t xml:space="preserve">ăn cứ quy định </w:t>
            </w:r>
            <w:r w:rsidRPr="00830B5B">
              <w:rPr>
                <w:rFonts w:cs="Times New Roman"/>
                <w:sz w:val="24"/>
                <w:lang w:val="en-US"/>
              </w:rPr>
              <w:t xml:space="preserve">tại </w:t>
            </w:r>
            <w:r w:rsidRPr="00830B5B">
              <w:rPr>
                <w:rFonts w:cs="Times New Roman"/>
                <w:sz w:val="24"/>
              </w:rPr>
              <w:t xml:space="preserve">Điều 124 Luật Quản lý, sử dụng tài sản công, đề nghị bỏ quy định tại khoản 3 Điều 20, khoản 3 Điều 26 (phương án 1) và sửa đổi các nội dung quy định về việc quản lý, sử dụng tiền trúng đấu giá tại Điều 20, Điều 26, Điều 32 theo hướng: </w:t>
            </w:r>
            <w:r w:rsidRPr="00830B5B">
              <w:rPr>
                <w:rFonts w:cs="Times New Roman"/>
                <w:i/>
                <w:sz w:val="24"/>
              </w:rPr>
              <w:t xml:space="preserve">Việc quản lý, sử dụng tiền trúng đấu giá kho số viễn </w:t>
            </w:r>
            <w:r w:rsidRPr="00830B5B">
              <w:rPr>
                <w:rFonts w:cs="Times New Roman"/>
                <w:i/>
                <w:sz w:val="24"/>
              </w:rPr>
              <w:lastRenderedPageBreak/>
              <w:t>thông được thực hiện theo quy định của pháp luật về ngân sách nhà nước và pháp luật có liên quan.</w:t>
            </w:r>
          </w:p>
          <w:p w14:paraId="4178548B" w14:textId="5CEDBDD5" w:rsidR="00C640B5" w:rsidRPr="00830B5B" w:rsidRDefault="00C640B5" w:rsidP="00C640B5">
            <w:pPr>
              <w:spacing w:before="60"/>
              <w:rPr>
                <w:rFonts w:cs="Times New Roman"/>
                <w:sz w:val="24"/>
              </w:rPr>
            </w:pPr>
            <w:r w:rsidRPr="00830B5B">
              <w:rPr>
                <w:rFonts w:cs="Times New Roman"/>
                <w:sz w:val="24"/>
                <w:lang w:val="en-US"/>
              </w:rPr>
              <w:t>B</w:t>
            </w:r>
            <w:r w:rsidRPr="00830B5B">
              <w:rPr>
                <w:rFonts w:cs="Times New Roman"/>
                <w:sz w:val="24"/>
              </w:rPr>
              <w:t>ổ sung quy định về xử lý tiền chậm nộp trong trường hợp doanh nghiệp, tổ chức, cá nhân chậm nộp tiền trúng đấu giá theo thời hạn quy định dự thảo Quyết định.</w:t>
            </w:r>
          </w:p>
          <w:p w14:paraId="19EA8E4C" w14:textId="63B0515A" w:rsidR="00C640B5" w:rsidRPr="00830B5B" w:rsidRDefault="00C640B5" w:rsidP="00C640B5">
            <w:pPr>
              <w:spacing w:before="60"/>
              <w:rPr>
                <w:rFonts w:cs="Times New Roman"/>
                <w:sz w:val="24"/>
              </w:rPr>
            </w:pPr>
            <w:r w:rsidRPr="00830B5B">
              <w:rPr>
                <w:rFonts w:cs="Times New Roman"/>
                <w:sz w:val="24"/>
              </w:rPr>
              <w:t>b) Riêng đối với quy định tại Điều 26 (phương án 2) về việc doanh nghiệp được giữ lại 30% số tiền đấu giá sau khi trừ chi phí, số còn lại nộp NSNN</w:t>
            </w:r>
            <w:r w:rsidRPr="00830B5B">
              <w:rPr>
                <w:rFonts w:cs="Times New Roman"/>
                <w:sz w:val="24"/>
                <w:lang w:val="en-US"/>
              </w:rPr>
              <w:t xml:space="preserve"> là </w:t>
            </w:r>
            <w:r w:rsidRPr="00830B5B">
              <w:rPr>
                <w:rFonts w:cs="Times New Roman"/>
                <w:sz w:val="24"/>
              </w:rPr>
              <w:t>chưa phù hợp với quy định tại Nghị định số 151/2017/NĐ-CP và không có căn cứ pháp lý để thực hiện.</w:t>
            </w:r>
          </w:p>
          <w:p w14:paraId="70B421A3" w14:textId="77777777" w:rsidR="00C640B5" w:rsidRPr="00830B5B" w:rsidRDefault="00C640B5" w:rsidP="00C640B5">
            <w:pPr>
              <w:spacing w:before="60"/>
              <w:rPr>
                <w:rFonts w:cs="Times New Roman"/>
                <w:sz w:val="24"/>
              </w:rPr>
            </w:pPr>
          </w:p>
        </w:tc>
        <w:tc>
          <w:tcPr>
            <w:tcW w:w="5923" w:type="dxa"/>
          </w:tcPr>
          <w:p w14:paraId="497B5EE1" w14:textId="77777777" w:rsidR="00C640B5" w:rsidRPr="00830B5B" w:rsidRDefault="00C640B5" w:rsidP="00C640B5">
            <w:pPr>
              <w:rPr>
                <w:rFonts w:cs="Times New Roman"/>
                <w:b/>
                <w:sz w:val="24"/>
                <w:lang w:val="en-US"/>
              </w:rPr>
            </w:pPr>
            <w:r w:rsidRPr="00830B5B">
              <w:rPr>
                <w:rFonts w:cs="Times New Roman"/>
                <w:b/>
                <w:sz w:val="24"/>
                <w:lang w:val="en-US"/>
              </w:rPr>
              <w:lastRenderedPageBreak/>
              <w:t xml:space="preserve">Tiếp thu </w:t>
            </w:r>
          </w:p>
          <w:p w14:paraId="1CF3B089" w14:textId="324DFD0D" w:rsidR="00C640B5" w:rsidRPr="00830B5B" w:rsidRDefault="00C640B5" w:rsidP="00C640B5">
            <w:pPr>
              <w:spacing w:before="60"/>
              <w:rPr>
                <w:rFonts w:cs="Times New Roman"/>
                <w:i/>
                <w:sz w:val="24"/>
              </w:rPr>
            </w:pPr>
            <w:r w:rsidRPr="00830B5B">
              <w:rPr>
                <w:rFonts w:cs="Times New Roman"/>
                <w:sz w:val="24"/>
                <w:lang w:val="en-US"/>
              </w:rPr>
              <w:t>- S</w:t>
            </w:r>
            <w:r w:rsidRPr="00830B5B">
              <w:rPr>
                <w:rFonts w:cs="Times New Roman"/>
                <w:sz w:val="24"/>
              </w:rPr>
              <w:t xml:space="preserve">ửa đổi các nội dung quy định về việc quản lý, sử dụng tiền trúng đấu giá tại Điều 20, Điều 26, Điều 32 theo hướng: </w:t>
            </w:r>
            <w:r w:rsidRPr="00830B5B">
              <w:rPr>
                <w:rFonts w:cs="Times New Roman"/>
                <w:i/>
                <w:sz w:val="24"/>
              </w:rPr>
              <w:t>Việc quản lý, sử dụng tiền trúng đấu giá kho số viễn thông được thực hiện theo quy định của pháp luật về ngân sách nhà nước và pháp luật có liên quan.</w:t>
            </w:r>
          </w:p>
          <w:p w14:paraId="4BC84698" w14:textId="77777777" w:rsidR="00C640B5" w:rsidRPr="00830B5B" w:rsidRDefault="00C640B5" w:rsidP="00C640B5">
            <w:pPr>
              <w:spacing w:before="60"/>
              <w:rPr>
                <w:rFonts w:cs="Times New Roman"/>
                <w:sz w:val="24"/>
                <w:lang w:val="en-US"/>
              </w:rPr>
            </w:pPr>
            <w:r w:rsidRPr="00830B5B">
              <w:rPr>
                <w:rFonts w:cs="Times New Roman"/>
                <w:sz w:val="24"/>
                <w:lang w:val="en-US"/>
              </w:rPr>
              <w:lastRenderedPageBreak/>
              <w:t xml:space="preserve">- Đối với các </w:t>
            </w:r>
            <w:r w:rsidRPr="00830B5B">
              <w:rPr>
                <w:rFonts w:cs="Times New Roman"/>
                <w:sz w:val="24"/>
              </w:rPr>
              <w:t>doanh nghiệp, tổ chức, cá nhân chậm nộp tiền trúng đấu giá theo thời hạn quy định dự thảo</w:t>
            </w:r>
            <w:r w:rsidRPr="00830B5B">
              <w:rPr>
                <w:rFonts w:cs="Times New Roman"/>
                <w:sz w:val="24"/>
                <w:lang w:val="en-US"/>
              </w:rPr>
              <w:t xml:space="preserve"> thì sẽ hủy kết quả đấu giá.</w:t>
            </w:r>
          </w:p>
          <w:p w14:paraId="5D49125A" w14:textId="27143FEE" w:rsidR="00C640B5" w:rsidRPr="00830B5B" w:rsidRDefault="00C640B5" w:rsidP="00C640B5">
            <w:pPr>
              <w:rPr>
                <w:rFonts w:cs="Times New Roman"/>
                <w:sz w:val="24"/>
                <w:lang w:val="en-US"/>
              </w:rPr>
            </w:pPr>
            <w:r w:rsidRPr="00830B5B">
              <w:rPr>
                <w:rFonts w:cs="Times New Roman"/>
                <w:sz w:val="24"/>
                <w:lang w:val="en-US"/>
              </w:rPr>
              <w:t xml:space="preserve">- Bỏ phương án 2 tại Điều 26: sau khi trừ </w:t>
            </w:r>
            <w:r w:rsidRPr="00830B5B">
              <w:rPr>
                <w:rFonts w:cs="Times New Roman"/>
                <w:sz w:val="24"/>
              </w:rPr>
              <w:t>chi phí</w:t>
            </w:r>
            <w:r w:rsidRPr="00830B5B">
              <w:rPr>
                <w:rFonts w:cs="Times New Roman"/>
                <w:sz w:val="24"/>
                <w:lang w:val="en-US"/>
              </w:rPr>
              <w:t xml:space="preserve">, tiền thu được do doanh nghiệp tổ chức đấu giá sẽ </w:t>
            </w:r>
            <w:r w:rsidRPr="00830B5B">
              <w:rPr>
                <w:rFonts w:cs="Times New Roman"/>
                <w:sz w:val="24"/>
                <w:lang w:val="nl-NL"/>
              </w:rPr>
              <w:t>nộp ngân sách nhà nước.</w:t>
            </w:r>
          </w:p>
        </w:tc>
      </w:tr>
      <w:tr w:rsidR="00C640B5" w:rsidRPr="00830B5B" w14:paraId="253625A2" w14:textId="77777777" w:rsidTr="00830B5B">
        <w:tc>
          <w:tcPr>
            <w:tcW w:w="671" w:type="dxa"/>
            <w:vMerge/>
            <w:vAlign w:val="center"/>
          </w:tcPr>
          <w:p w14:paraId="5B90077C" w14:textId="77777777" w:rsidR="00C640B5" w:rsidRPr="00830B5B" w:rsidRDefault="00C640B5" w:rsidP="00C640B5">
            <w:pPr>
              <w:jc w:val="center"/>
              <w:rPr>
                <w:rFonts w:cs="Times New Roman"/>
                <w:b/>
                <w:sz w:val="24"/>
                <w:lang w:val="en-US"/>
              </w:rPr>
            </w:pPr>
          </w:p>
        </w:tc>
        <w:tc>
          <w:tcPr>
            <w:tcW w:w="1399" w:type="dxa"/>
            <w:vMerge/>
          </w:tcPr>
          <w:p w14:paraId="3F7C1948" w14:textId="77777777" w:rsidR="00C640B5" w:rsidRPr="00830B5B" w:rsidRDefault="00C640B5" w:rsidP="00C640B5">
            <w:pPr>
              <w:spacing w:before="60"/>
              <w:rPr>
                <w:rFonts w:cs="Times New Roman"/>
                <w:sz w:val="24"/>
                <w:lang w:val="en-US"/>
              </w:rPr>
            </w:pPr>
          </w:p>
        </w:tc>
        <w:tc>
          <w:tcPr>
            <w:tcW w:w="1530" w:type="dxa"/>
            <w:vAlign w:val="center"/>
          </w:tcPr>
          <w:p w14:paraId="16E2B4F4" w14:textId="3A77DEE4" w:rsidR="00C640B5" w:rsidRPr="00830B5B" w:rsidRDefault="00C640B5" w:rsidP="00C640B5">
            <w:pPr>
              <w:spacing w:before="60"/>
              <w:rPr>
                <w:rFonts w:cs="Times New Roman"/>
                <w:b/>
                <w:sz w:val="24"/>
                <w:lang w:val="en-US"/>
              </w:rPr>
            </w:pPr>
            <w:r w:rsidRPr="00830B5B">
              <w:rPr>
                <w:rFonts w:cs="Times New Roman"/>
                <w:b/>
                <w:sz w:val="24"/>
                <w:lang w:val="en-US"/>
              </w:rPr>
              <w:t>VNPT</w:t>
            </w:r>
          </w:p>
        </w:tc>
        <w:tc>
          <w:tcPr>
            <w:tcW w:w="6300" w:type="dxa"/>
          </w:tcPr>
          <w:p w14:paraId="1244A74C" w14:textId="294E821B" w:rsidR="00C640B5" w:rsidRPr="00830B5B" w:rsidRDefault="00C640B5" w:rsidP="00C640B5">
            <w:pPr>
              <w:spacing w:before="60"/>
              <w:rPr>
                <w:rFonts w:cs="Times New Roman"/>
                <w:sz w:val="24"/>
                <w:lang w:val="en-US"/>
              </w:rPr>
            </w:pPr>
            <w:r w:rsidRPr="00830B5B">
              <w:rPr>
                <w:rFonts w:cs="Times New Roman"/>
                <w:sz w:val="24"/>
              </w:rPr>
              <w:t>Về phương án xử lý tiền thu được từ đấu giá tại khoản 3 Điều 26 Dự thảo: đề xuất Doanh nghiệp viễn thông giữ lại 50%.</w:t>
            </w:r>
          </w:p>
        </w:tc>
        <w:tc>
          <w:tcPr>
            <w:tcW w:w="5923" w:type="dxa"/>
            <w:vMerge w:val="restart"/>
          </w:tcPr>
          <w:p w14:paraId="3A087A74" w14:textId="77777777" w:rsidR="00C640B5" w:rsidRPr="00830B5B" w:rsidRDefault="00C640B5" w:rsidP="00C640B5">
            <w:pPr>
              <w:rPr>
                <w:rFonts w:cs="Times New Roman"/>
                <w:b/>
                <w:sz w:val="24"/>
                <w:lang w:val="en-US"/>
              </w:rPr>
            </w:pPr>
            <w:r w:rsidRPr="00830B5B">
              <w:rPr>
                <w:rFonts w:cs="Times New Roman"/>
                <w:b/>
                <w:sz w:val="24"/>
                <w:lang w:val="en-US"/>
              </w:rPr>
              <w:t>Giải trình:</w:t>
            </w:r>
          </w:p>
          <w:p w14:paraId="6ED2B9FE" w14:textId="724E7553" w:rsidR="00C640B5" w:rsidRPr="00830B5B" w:rsidRDefault="00C640B5" w:rsidP="00C640B5">
            <w:pPr>
              <w:rPr>
                <w:rFonts w:cs="Times New Roman"/>
                <w:b/>
                <w:sz w:val="24"/>
                <w:lang w:val="en-US"/>
              </w:rPr>
            </w:pPr>
            <w:r w:rsidRPr="00830B5B">
              <w:rPr>
                <w:rFonts w:cs="Times New Roman"/>
                <w:sz w:val="24"/>
                <w:lang w:val="en-US"/>
              </w:rPr>
              <w:t xml:space="preserve">Căn cứ theo ý kiến góp ý của Bộ Tài chính, Dự thảo sẽ lựa chọn phương án 1 tại </w:t>
            </w:r>
            <w:r w:rsidRPr="00830B5B">
              <w:rPr>
                <w:rFonts w:eastAsia="Arial" w:cs="Times New Roman"/>
                <w:sz w:val="24"/>
              </w:rPr>
              <w:t xml:space="preserve"> Khoản 2, Điều 26</w:t>
            </w:r>
            <w:r w:rsidRPr="00830B5B">
              <w:rPr>
                <w:rFonts w:eastAsia="Arial" w:cs="Times New Roman"/>
                <w:sz w:val="24"/>
                <w:lang w:val="en-US"/>
              </w:rPr>
              <w:t xml:space="preserve">: </w:t>
            </w:r>
            <w:r w:rsidRPr="00830B5B">
              <w:rPr>
                <w:rFonts w:cs="Times New Roman"/>
                <w:sz w:val="24"/>
                <w:lang w:val="en-US"/>
              </w:rPr>
              <w:t xml:space="preserve">Sau khi trừ </w:t>
            </w:r>
            <w:r w:rsidRPr="00830B5B">
              <w:rPr>
                <w:rFonts w:cs="Times New Roman"/>
                <w:sz w:val="24"/>
              </w:rPr>
              <w:t>chi phí</w:t>
            </w:r>
            <w:r w:rsidRPr="00830B5B">
              <w:rPr>
                <w:rFonts w:cs="Times New Roman"/>
                <w:sz w:val="24"/>
                <w:lang w:val="en-US"/>
              </w:rPr>
              <w:t xml:space="preserve">, tiền thu được do doanh nghiệp tổ chức đấu giá sẽ </w:t>
            </w:r>
            <w:r w:rsidRPr="00830B5B">
              <w:rPr>
                <w:rFonts w:cs="Times New Roman"/>
                <w:sz w:val="24"/>
                <w:lang w:val="nl-NL"/>
              </w:rPr>
              <w:t>nộp ngân sách nhà nước.</w:t>
            </w:r>
          </w:p>
        </w:tc>
      </w:tr>
      <w:tr w:rsidR="00C640B5" w:rsidRPr="00830B5B" w14:paraId="5ED01DBF" w14:textId="77777777" w:rsidTr="00830B5B">
        <w:trPr>
          <w:trHeight w:val="1470"/>
        </w:trPr>
        <w:tc>
          <w:tcPr>
            <w:tcW w:w="671" w:type="dxa"/>
            <w:vMerge/>
            <w:vAlign w:val="center"/>
          </w:tcPr>
          <w:p w14:paraId="02AB29B6" w14:textId="77777777" w:rsidR="00C640B5" w:rsidRPr="00830B5B" w:rsidRDefault="00C640B5" w:rsidP="00C640B5">
            <w:pPr>
              <w:jc w:val="center"/>
              <w:rPr>
                <w:rFonts w:cs="Times New Roman"/>
                <w:b/>
                <w:sz w:val="24"/>
                <w:lang w:val="en-US"/>
              </w:rPr>
            </w:pPr>
          </w:p>
        </w:tc>
        <w:tc>
          <w:tcPr>
            <w:tcW w:w="1399" w:type="dxa"/>
            <w:vMerge/>
          </w:tcPr>
          <w:p w14:paraId="7B6BE196" w14:textId="77777777" w:rsidR="00C640B5" w:rsidRPr="00830B5B" w:rsidRDefault="00C640B5" w:rsidP="00C640B5">
            <w:pPr>
              <w:spacing w:before="60"/>
              <w:rPr>
                <w:rFonts w:cs="Times New Roman"/>
                <w:sz w:val="24"/>
                <w:lang w:val="en-US"/>
              </w:rPr>
            </w:pPr>
          </w:p>
        </w:tc>
        <w:tc>
          <w:tcPr>
            <w:tcW w:w="1530" w:type="dxa"/>
            <w:vAlign w:val="center"/>
          </w:tcPr>
          <w:p w14:paraId="74BA39B8" w14:textId="50583E59" w:rsidR="00C640B5" w:rsidRPr="00830B5B" w:rsidRDefault="00C640B5" w:rsidP="00C640B5">
            <w:pPr>
              <w:spacing w:before="60"/>
              <w:rPr>
                <w:rFonts w:cs="Times New Roman"/>
                <w:b/>
                <w:sz w:val="24"/>
                <w:lang w:val="en-US"/>
              </w:rPr>
            </w:pPr>
            <w:r w:rsidRPr="00830B5B">
              <w:rPr>
                <w:rFonts w:cs="Times New Roman"/>
                <w:b/>
                <w:sz w:val="24"/>
                <w:lang w:val="en-US"/>
              </w:rPr>
              <w:t>Mobifone</w:t>
            </w:r>
          </w:p>
        </w:tc>
        <w:tc>
          <w:tcPr>
            <w:tcW w:w="6300" w:type="dxa"/>
          </w:tcPr>
          <w:p w14:paraId="27452CED" w14:textId="1BE0BD74" w:rsidR="00C640B5" w:rsidRPr="00830B5B" w:rsidRDefault="00C640B5" w:rsidP="00C640B5">
            <w:pPr>
              <w:rPr>
                <w:rFonts w:cs="Times New Roman"/>
                <w:sz w:val="24"/>
                <w:highlight w:val="yellow"/>
              </w:rPr>
            </w:pPr>
            <w:r w:rsidRPr="00830B5B">
              <w:rPr>
                <w:rFonts w:eastAsia="Arial" w:cs="Times New Roman"/>
                <w:color w:val="000000"/>
                <w:sz w:val="24"/>
              </w:rPr>
              <w:t xml:space="preserve">Kiến nghị </w:t>
            </w:r>
            <w:r w:rsidRPr="00830B5B">
              <w:rPr>
                <w:rFonts w:eastAsia="Arial" w:cs="Times New Roman"/>
                <w:color w:val="000000"/>
                <w:sz w:val="24"/>
                <w:lang w:val="en-US"/>
              </w:rPr>
              <w:t>l</w:t>
            </w:r>
            <w:r w:rsidRPr="00830B5B">
              <w:rPr>
                <w:rFonts w:eastAsia="Arial" w:cs="Times New Roman"/>
                <w:color w:val="000000"/>
                <w:sz w:val="24"/>
              </w:rPr>
              <w:t>ựa chọn Phương án 2</w:t>
            </w:r>
            <w:r w:rsidRPr="00830B5B">
              <w:rPr>
                <w:rFonts w:eastAsia="Arial" w:cs="Times New Roman"/>
                <w:color w:val="000000"/>
                <w:sz w:val="24"/>
                <w:lang w:val="en-US"/>
              </w:rPr>
              <w:t xml:space="preserve"> </w:t>
            </w:r>
            <w:r w:rsidRPr="00830B5B">
              <w:rPr>
                <w:rFonts w:eastAsia="Arial" w:cs="Times New Roman"/>
                <w:sz w:val="24"/>
              </w:rPr>
              <w:t xml:space="preserve"> </w:t>
            </w:r>
            <w:r w:rsidRPr="00830B5B">
              <w:rPr>
                <w:rFonts w:eastAsia="Arial" w:cs="Times New Roman"/>
                <w:sz w:val="24"/>
                <w:lang w:val="en-US"/>
              </w:rPr>
              <w:t xml:space="preserve">tại </w:t>
            </w:r>
            <w:r w:rsidRPr="00830B5B">
              <w:rPr>
                <w:rFonts w:eastAsia="Arial" w:cs="Times New Roman"/>
                <w:sz w:val="24"/>
              </w:rPr>
              <w:t>Khoản 2, Điều 26</w:t>
            </w:r>
            <w:r w:rsidRPr="00830B5B">
              <w:rPr>
                <w:rFonts w:eastAsia="Arial" w:cs="Times New Roman"/>
                <w:color w:val="000000"/>
                <w:sz w:val="24"/>
              </w:rPr>
              <w:t>: “</w:t>
            </w:r>
            <w:r w:rsidRPr="00830B5B">
              <w:rPr>
                <w:rFonts w:eastAsia="Arial" w:cs="Times New Roman"/>
                <w:i/>
                <w:iCs/>
                <w:color w:val="000000"/>
                <w:sz w:val="24"/>
              </w:rPr>
              <w:t>Tiền thu được từ đấu giá sau khi trừ đi chi phí tổ chức đấu giá có liên quan, doanh nghiệp được giữ lại 30%, số còn lại doanh nghiệp phải nộp lại Ngân sách nhà nước</w:t>
            </w:r>
          </w:p>
        </w:tc>
        <w:tc>
          <w:tcPr>
            <w:tcW w:w="5923" w:type="dxa"/>
            <w:vMerge/>
          </w:tcPr>
          <w:p w14:paraId="23D934ED" w14:textId="49C8182B" w:rsidR="00C640B5" w:rsidRPr="00830B5B" w:rsidRDefault="00C640B5" w:rsidP="00C640B5">
            <w:pPr>
              <w:rPr>
                <w:rFonts w:cs="Times New Roman"/>
                <w:b/>
                <w:sz w:val="24"/>
                <w:highlight w:val="yellow"/>
                <w:lang w:val="en-US"/>
              </w:rPr>
            </w:pPr>
          </w:p>
        </w:tc>
      </w:tr>
      <w:tr w:rsidR="00C640B5" w:rsidRPr="00830B5B" w14:paraId="75ACEA83" w14:textId="77777777" w:rsidTr="00830B5B">
        <w:tc>
          <w:tcPr>
            <w:tcW w:w="671" w:type="dxa"/>
            <w:vMerge/>
            <w:vAlign w:val="center"/>
          </w:tcPr>
          <w:p w14:paraId="62E93D5A" w14:textId="77777777" w:rsidR="00C640B5" w:rsidRPr="00830B5B" w:rsidRDefault="00C640B5" w:rsidP="00C640B5">
            <w:pPr>
              <w:jc w:val="center"/>
              <w:rPr>
                <w:rFonts w:cs="Times New Roman"/>
                <w:b/>
                <w:sz w:val="24"/>
                <w:lang w:val="en-US"/>
              </w:rPr>
            </w:pPr>
          </w:p>
        </w:tc>
        <w:tc>
          <w:tcPr>
            <w:tcW w:w="1399" w:type="dxa"/>
            <w:vMerge/>
          </w:tcPr>
          <w:p w14:paraId="28E38947" w14:textId="77777777" w:rsidR="00C640B5" w:rsidRPr="00830B5B" w:rsidRDefault="00C640B5" w:rsidP="00C640B5">
            <w:pPr>
              <w:spacing w:before="60"/>
              <w:rPr>
                <w:rFonts w:cs="Times New Roman"/>
                <w:sz w:val="24"/>
                <w:lang w:val="en-US"/>
              </w:rPr>
            </w:pPr>
          </w:p>
        </w:tc>
        <w:tc>
          <w:tcPr>
            <w:tcW w:w="1530" w:type="dxa"/>
            <w:vAlign w:val="center"/>
          </w:tcPr>
          <w:p w14:paraId="3C162BA1" w14:textId="0C0C2A86" w:rsidR="00C640B5" w:rsidRPr="00830B5B" w:rsidRDefault="00C640B5" w:rsidP="00C640B5">
            <w:pPr>
              <w:spacing w:before="60"/>
              <w:rPr>
                <w:rFonts w:cs="Times New Roman"/>
                <w:b/>
                <w:sz w:val="24"/>
                <w:lang w:val="en-US"/>
              </w:rPr>
            </w:pPr>
            <w:r w:rsidRPr="00830B5B">
              <w:rPr>
                <w:rFonts w:cs="Times New Roman"/>
                <w:b/>
                <w:sz w:val="24"/>
                <w:lang w:val="en-US"/>
              </w:rPr>
              <w:t>Viettel</w:t>
            </w:r>
          </w:p>
        </w:tc>
        <w:tc>
          <w:tcPr>
            <w:tcW w:w="6300" w:type="dxa"/>
          </w:tcPr>
          <w:p w14:paraId="39949A3A" w14:textId="1FE86B8C" w:rsidR="00C640B5" w:rsidRPr="00830B5B" w:rsidRDefault="00C640B5" w:rsidP="00C640B5">
            <w:pPr>
              <w:rPr>
                <w:rFonts w:eastAsia="Arial" w:cs="Times New Roman"/>
                <w:sz w:val="24"/>
              </w:rPr>
            </w:pPr>
            <w:r w:rsidRPr="00830B5B">
              <w:rPr>
                <w:rFonts w:cs="Times New Roman"/>
                <w:sz w:val="24"/>
                <w:lang w:val="nl-NL"/>
              </w:rPr>
              <w:t>Tiền thu được từ đấu giá doanh nghiệp được giữ lại 50%</w:t>
            </w:r>
          </w:p>
        </w:tc>
        <w:tc>
          <w:tcPr>
            <w:tcW w:w="5923" w:type="dxa"/>
            <w:vMerge/>
          </w:tcPr>
          <w:p w14:paraId="14ED7BA3" w14:textId="1C53FA06" w:rsidR="00C640B5" w:rsidRPr="00830B5B" w:rsidRDefault="00C640B5" w:rsidP="00C640B5">
            <w:pPr>
              <w:rPr>
                <w:rFonts w:cs="Times New Roman"/>
                <w:b/>
                <w:sz w:val="24"/>
                <w:lang w:val="en-US"/>
              </w:rPr>
            </w:pPr>
          </w:p>
        </w:tc>
      </w:tr>
      <w:tr w:rsidR="00C640B5" w:rsidRPr="00830B5B" w14:paraId="1408934A" w14:textId="77777777" w:rsidTr="00830B5B">
        <w:tc>
          <w:tcPr>
            <w:tcW w:w="671" w:type="dxa"/>
            <w:vMerge w:val="restart"/>
            <w:vAlign w:val="center"/>
          </w:tcPr>
          <w:p w14:paraId="7F9AA5D6" w14:textId="5B83F8F3" w:rsidR="00C640B5" w:rsidRPr="00830B5B" w:rsidRDefault="00C640B5" w:rsidP="00C640B5">
            <w:pPr>
              <w:jc w:val="center"/>
              <w:rPr>
                <w:rFonts w:cs="Times New Roman"/>
                <w:b/>
                <w:sz w:val="24"/>
                <w:lang w:val="en-US"/>
              </w:rPr>
            </w:pPr>
            <w:r w:rsidRPr="00830B5B">
              <w:rPr>
                <w:rFonts w:cs="Times New Roman"/>
                <w:b/>
                <w:sz w:val="24"/>
                <w:lang w:val="en-US"/>
              </w:rPr>
              <w:t>18</w:t>
            </w:r>
          </w:p>
        </w:tc>
        <w:tc>
          <w:tcPr>
            <w:tcW w:w="1399" w:type="dxa"/>
            <w:vMerge w:val="restart"/>
          </w:tcPr>
          <w:p w14:paraId="393A0ADE" w14:textId="77777777" w:rsidR="00C640B5" w:rsidRPr="00830B5B" w:rsidRDefault="00C640B5" w:rsidP="00C640B5">
            <w:pPr>
              <w:jc w:val="left"/>
              <w:rPr>
                <w:rFonts w:cs="Times New Roman"/>
                <w:b/>
                <w:sz w:val="24"/>
                <w:lang w:val="nl-NL"/>
              </w:rPr>
            </w:pPr>
          </w:p>
          <w:p w14:paraId="02BFBAA6" w14:textId="77777777" w:rsidR="00C640B5" w:rsidRPr="00830B5B" w:rsidRDefault="00C640B5" w:rsidP="00C640B5">
            <w:pPr>
              <w:jc w:val="left"/>
              <w:rPr>
                <w:rFonts w:cs="Times New Roman"/>
                <w:b/>
                <w:sz w:val="24"/>
                <w:lang w:val="nl-NL"/>
              </w:rPr>
            </w:pPr>
          </w:p>
          <w:p w14:paraId="10682E2D" w14:textId="77777777" w:rsidR="00C640B5" w:rsidRPr="00830B5B" w:rsidRDefault="00C640B5" w:rsidP="00C640B5">
            <w:pPr>
              <w:jc w:val="left"/>
              <w:rPr>
                <w:rFonts w:cs="Times New Roman"/>
                <w:sz w:val="24"/>
                <w:lang w:val="nl-NL"/>
              </w:rPr>
            </w:pPr>
          </w:p>
          <w:p w14:paraId="1CC29480" w14:textId="43A4BBC3" w:rsidR="00C640B5" w:rsidRPr="00830B5B" w:rsidRDefault="00C640B5" w:rsidP="00C640B5">
            <w:pPr>
              <w:jc w:val="left"/>
              <w:rPr>
                <w:rFonts w:cs="Times New Roman"/>
                <w:b/>
                <w:sz w:val="24"/>
                <w:lang w:val="nl-NL"/>
              </w:rPr>
            </w:pPr>
            <w:r w:rsidRPr="00830B5B">
              <w:rPr>
                <w:rFonts w:cs="Times New Roman"/>
                <w:sz w:val="24"/>
                <w:lang w:val="nl-NL"/>
              </w:rPr>
              <w:t xml:space="preserve">Về thuế chuyển nhượng quyền sử dụng kho số viễn thông, </w:t>
            </w:r>
            <w:r w:rsidRPr="00830B5B">
              <w:rPr>
                <w:rFonts w:cs="Times New Roman"/>
                <w:sz w:val="24"/>
                <w:lang w:val="nl-NL"/>
              </w:rPr>
              <w:lastRenderedPageBreak/>
              <w:t>tên miền Internet</w:t>
            </w:r>
            <w:r w:rsidRPr="00830B5B">
              <w:rPr>
                <w:rFonts w:cs="Times New Roman"/>
                <w:b/>
                <w:sz w:val="24"/>
                <w:lang w:val="nl-NL"/>
              </w:rPr>
              <w:t xml:space="preserve"> </w:t>
            </w:r>
          </w:p>
        </w:tc>
        <w:tc>
          <w:tcPr>
            <w:tcW w:w="1530" w:type="dxa"/>
            <w:vMerge w:val="restart"/>
            <w:vAlign w:val="center"/>
          </w:tcPr>
          <w:p w14:paraId="25207F71" w14:textId="0A7E1AB1" w:rsidR="00C640B5" w:rsidRPr="00830B5B" w:rsidRDefault="00C640B5" w:rsidP="00C640B5">
            <w:pPr>
              <w:spacing w:before="60" w:line="252" w:lineRule="auto"/>
              <w:rPr>
                <w:rFonts w:cs="Times New Roman"/>
                <w:sz w:val="24"/>
                <w:lang w:val="nl-NL"/>
              </w:rPr>
            </w:pPr>
            <w:r w:rsidRPr="00830B5B">
              <w:rPr>
                <w:rFonts w:cs="Times New Roman"/>
                <w:b/>
                <w:sz w:val="24"/>
                <w:lang w:val="en-US"/>
              </w:rPr>
              <w:lastRenderedPageBreak/>
              <w:t>Bộ Tài chính</w:t>
            </w:r>
          </w:p>
        </w:tc>
        <w:tc>
          <w:tcPr>
            <w:tcW w:w="6300" w:type="dxa"/>
          </w:tcPr>
          <w:p w14:paraId="5DD369D9" w14:textId="555D56CA" w:rsidR="00C640B5" w:rsidRPr="00830B5B" w:rsidRDefault="00C640B5" w:rsidP="00C640B5">
            <w:pPr>
              <w:spacing w:before="60" w:line="252" w:lineRule="auto"/>
              <w:rPr>
                <w:rFonts w:cs="Times New Roman"/>
                <w:sz w:val="24"/>
                <w:lang w:val="nl-NL"/>
              </w:rPr>
            </w:pPr>
            <w:r w:rsidRPr="00830B5B">
              <w:rPr>
                <w:rFonts w:cs="Times New Roman"/>
                <w:sz w:val="24"/>
                <w:lang w:val="nl-NL"/>
              </w:rPr>
              <w:t>- Pháp luật hiện hành về thuế thu nhập doanh nghiệp, thuế thu nhập cá nhân và thuế giá trị gia tăng đã quy định đầy đủ về đối tượng nộp thuế, đối tượng chịu thuế; theo đó, doanh nghiệp, tổ chức, cá nhân khi thực hiện chuyển nhượng kho số viễn thông, tên miền Internet thực hiện theo quy định của các Luật Thuế liên quan tại thời điểm phát sinh. Do vậy, để tránh chồng chéo, mâu thuẫn, đề nghị bỏ các nội dung quy định về thuế tại dự thảo Quyết định (khoản 3 Điều 33, khoản 5 Điều 34, khoản 3 Điều 35, khoản 5 Điều 36, khoản 3 Điều 38).</w:t>
            </w:r>
          </w:p>
          <w:p w14:paraId="12909761" w14:textId="77777777" w:rsidR="00C640B5" w:rsidRPr="00830B5B" w:rsidRDefault="00C640B5" w:rsidP="00C640B5">
            <w:pPr>
              <w:spacing w:before="60"/>
              <w:ind w:firstLine="720"/>
              <w:rPr>
                <w:rFonts w:cs="Times New Roman"/>
                <w:sz w:val="24"/>
              </w:rPr>
            </w:pPr>
          </w:p>
        </w:tc>
        <w:tc>
          <w:tcPr>
            <w:tcW w:w="5923" w:type="dxa"/>
          </w:tcPr>
          <w:p w14:paraId="500C2D25" w14:textId="69FC4326" w:rsidR="00C640B5" w:rsidRPr="00830B5B" w:rsidRDefault="00C640B5" w:rsidP="00C640B5">
            <w:pPr>
              <w:rPr>
                <w:rFonts w:cs="Times New Roman"/>
                <w:b/>
                <w:sz w:val="24"/>
                <w:lang w:val="en-US"/>
              </w:rPr>
            </w:pPr>
            <w:r w:rsidRPr="00830B5B">
              <w:rPr>
                <w:rFonts w:cs="Times New Roman"/>
                <w:b/>
                <w:sz w:val="24"/>
                <w:lang w:val="en-US"/>
              </w:rPr>
              <w:t>Tiếp thu</w:t>
            </w:r>
          </w:p>
          <w:p w14:paraId="5810F9B8" w14:textId="24CA81EA" w:rsidR="00C640B5" w:rsidRPr="00830B5B" w:rsidRDefault="00C640B5" w:rsidP="00C640B5">
            <w:pPr>
              <w:spacing w:before="40" w:line="264" w:lineRule="auto"/>
              <w:rPr>
                <w:rFonts w:cs="Times New Roman"/>
                <w:sz w:val="24"/>
              </w:rPr>
            </w:pPr>
            <w:r w:rsidRPr="00830B5B">
              <w:rPr>
                <w:rFonts w:cs="Times New Roman"/>
                <w:sz w:val="24"/>
                <w:lang w:val="en-US"/>
              </w:rPr>
              <w:t xml:space="preserve">Bổ sung, sửa đổi quy định doanh nghiệp, tổ chức, cá nhận khi chuyển nhượng phải nộp thuế đối với </w:t>
            </w:r>
            <w:r w:rsidRPr="00830B5B">
              <w:rPr>
                <w:rFonts w:cs="Times New Roman"/>
                <w:sz w:val="24"/>
              </w:rPr>
              <w:t xml:space="preserve">hoạt động </w:t>
            </w:r>
            <w:r w:rsidRPr="00830B5B">
              <w:rPr>
                <w:rFonts w:cs="Times New Roman"/>
                <w:sz w:val="24"/>
                <w:lang w:val="en-US"/>
              </w:rPr>
              <w:t xml:space="preserve">chuyển nhượng </w:t>
            </w:r>
            <w:r w:rsidRPr="00830B5B">
              <w:rPr>
                <w:rFonts w:cs="Times New Roman"/>
                <w:sz w:val="24"/>
              </w:rPr>
              <w:t>quyền sử dụng kho số viễn thông, tên miền Internet theo quy định của pháp luật về thuế.</w:t>
            </w:r>
          </w:p>
          <w:p w14:paraId="7E2CB429" w14:textId="17896E42" w:rsidR="00C640B5" w:rsidRPr="00830B5B" w:rsidRDefault="00C640B5" w:rsidP="00C640B5">
            <w:pPr>
              <w:rPr>
                <w:rFonts w:cs="Times New Roman"/>
                <w:sz w:val="24"/>
                <w:lang w:val="en-US"/>
              </w:rPr>
            </w:pPr>
          </w:p>
        </w:tc>
      </w:tr>
      <w:tr w:rsidR="00C640B5" w:rsidRPr="00830B5B" w14:paraId="7DF24EEE" w14:textId="77777777" w:rsidTr="00830B5B">
        <w:tc>
          <w:tcPr>
            <w:tcW w:w="671" w:type="dxa"/>
            <w:vMerge/>
            <w:vAlign w:val="center"/>
          </w:tcPr>
          <w:p w14:paraId="2807443E" w14:textId="0884EA15" w:rsidR="00C640B5" w:rsidRPr="00830B5B" w:rsidRDefault="00C640B5" w:rsidP="00C640B5">
            <w:pPr>
              <w:jc w:val="center"/>
              <w:rPr>
                <w:rFonts w:cs="Times New Roman"/>
                <w:b/>
                <w:sz w:val="24"/>
                <w:lang w:val="en-US"/>
              </w:rPr>
            </w:pPr>
          </w:p>
        </w:tc>
        <w:tc>
          <w:tcPr>
            <w:tcW w:w="1399" w:type="dxa"/>
            <w:vMerge/>
          </w:tcPr>
          <w:p w14:paraId="5AAA08CF" w14:textId="77777777" w:rsidR="00C640B5" w:rsidRPr="00830B5B" w:rsidRDefault="00C640B5" w:rsidP="00C640B5">
            <w:pPr>
              <w:spacing w:before="60"/>
              <w:rPr>
                <w:rFonts w:cs="Times New Roman"/>
                <w:sz w:val="24"/>
                <w:lang w:val="nl-NL"/>
              </w:rPr>
            </w:pPr>
          </w:p>
        </w:tc>
        <w:tc>
          <w:tcPr>
            <w:tcW w:w="1530" w:type="dxa"/>
            <w:vMerge/>
            <w:vAlign w:val="center"/>
          </w:tcPr>
          <w:p w14:paraId="455F025B" w14:textId="07C02CDA" w:rsidR="00C640B5" w:rsidRPr="00830B5B" w:rsidRDefault="00C640B5" w:rsidP="00C640B5">
            <w:pPr>
              <w:spacing w:before="60"/>
              <w:rPr>
                <w:rFonts w:cs="Times New Roman"/>
                <w:sz w:val="24"/>
                <w:lang w:val="nl-NL"/>
              </w:rPr>
            </w:pPr>
          </w:p>
        </w:tc>
        <w:tc>
          <w:tcPr>
            <w:tcW w:w="6300" w:type="dxa"/>
          </w:tcPr>
          <w:p w14:paraId="50C38C15" w14:textId="7BCC4699" w:rsidR="00C640B5" w:rsidRPr="00830B5B" w:rsidRDefault="00C640B5" w:rsidP="00C640B5">
            <w:pPr>
              <w:spacing w:before="60"/>
              <w:rPr>
                <w:rFonts w:cs="Times New Roman"/>
                <w:sz w:val="24"/>
                <w:lang w:val="nl-NL"/>
              </w:rPr>
            </w:pPr>
            <w:r w:rsidRPr="00830B5B">
              <w:rPr>
                <w:rFonts w:cs="Times New Roman"/>
                <w:sz w:val="24"/>
                <w:lang w:val="nl-NL"/>
              </w:rPr>
              <w:t>- Đề nghị sửa lại khoản 2 Điều 39, khoản 2 Điều 40 như sau:</w:t>
            </w:r>
          </w:p>
          <w:p w14:paraId="78E1DD1D" w14:textId="77777777" w:rsidR="00C640B5" w:rsidRPr="00830B5B" w:rsidRDefault="00C640B5" w:rsidP="00C640B5">
            <w:pPr>
              <w:spacing w:before="60"/>
              <w:rPr>
                <w:rFonts w:cs="Times New Roman"/>
                <w:i/>
                <w:sz w:val="24"/>
                <w:lang w:val="nl-NL"/>
              </w:rPr>
            </w:pPr>
            <w:r w:rsidRPr="00830B5B">
              <w:rPr>
                <w:rFonts w:cs="Times New Roman"/>
                <w:i/>
                <w:sz w:val="24"/>
                <w:lang w:val="nl-NL"/>
              </w:rPr>
              <w:t>“Điều 39. Trách nhiệm của bên chuyển nhượng</w:t>
            </w:r>
          </w:p>
          <w:p w14:paraId="0EC68FB1" w14:textId="77777777" w:rsidR="00C640B5" w:rsidRPr="00830B5B" w:rsidRDefault="00C640B5" w:rsidP="00C640B5">
            <w:pPr>
              <w:spacing w:before="60"/>
              <w:rPr>
                <w:rFonts w:cs="Times New Roman"/>
                <w:i/>
                <w:sz w:val="24"/>
                <w:lang w:val="nl-NL"/>
              </w:rPr>
            </w:pPr>
            <w:r w:rsidRPr="00830B5B">
              <w:rPr>
                <w:rFonts w:cs="Times New Roman"/>
                <w:i/>
                <w:sz w:val="24"/>
                <w:lang w:val="nl-NL"/>
              </w:rPr>
              <w:t>…</w:t>
            </w:r>
          </w:p>
          <w:p w14:paraId="72832967" w14:textId="77777777" w:rsidR="00C640B5" w:rsidRPr="00830B5B" w:rsidRDefault="00C640B5" w:rsidP="00C640B5">
            <w:pPr>
              <w:spacing w:before="60"/>
              <w:rPr>
                <w:rFonts w:cs="Times New Roman"/>
                <w:i/>
                <w:sz w:val="24"/>
                <w:lang w:val="nl-NL"/>
              </w:rPr>
            </w:pPr>
            <w:r w:rsidRPr="00830B5B">
              <w:rPr>
                <w:rFonts w:cs="Times New Roman"/>
                <w:i/>
                <w:sz w:val="24"/>
                <w:lang w:val="nl-NL"/>
              </w:rPr>
              <w:t>2. Thực hiện nghĩa vụ thuế đối với hoạt động chuyển nhượng quyền sử dụng kho số viễn thông, tên miền Internet theo quy định của pháp luật về thuế.</w:t>
            </w:r>
          </w:p>
          <w:p w14:paraId="2CD845C9" w14:textId="77777777" w:rsidR="00C640B5" w:rsidRPr="00830B5B" w:rsidRDefault="00C640B5" w:rsidP="00C640B5">
            <w:pPr>
              <w:spacing w:before="60"/>
              <w:rPr>
                <w:rFonts w:cs="Times New Roman"/>
                <w:i/>
                <w:sz w:val="24"/>
                <w:lang w:val="nl-NL"/>
              </w:rPr>
            </w:pPr>
            <w:r w:rsidRPr="00830B5B">
              <w:rPr>
                <w:rFonts w:cs="Times New Roman"/>
                <w:i/>
                <w:sz w:val="24"/>
                <w:lang w:val="nl-NL"/>
              </w:rPr>
              <w:t>Điều 40. Trách nhiệm của bên nhận chuyển nhượng</w:t>
            </w:r>
          </w:p>
          <w:p w14:paraId="75431AA5" w14:textId="2A622819" w:rsidR="00C640B5" w:rsidRPr="00830B5B" w:rsidRDefault="00C640B5" w:rsidP="00C640B5">
            <w:pPr>
              <w:spacing w:before="60"/>
              <w:rPr>
                <w:rFonts w:cs="Times New Roman"/>
                <w:i/>
                <w:sz w:val="24"/>
                <w:lang w:val="nl-NL"/>
              </w:rPr>
            </w:pPr>
            <w:r w:rsidRPr="00830B5B">
              <w:rPr>
                <w:rFonts w:cs="Times New Roman"/>
                <w:i/>
                <w:sz w:val="24"/>
                <w:lang w:val="nl-NL"/>
              </w:rPr>
              <w:t>....</w:t>
            </w:r>
          </w:p>
          <w:p w14:paraId="35565A3C" w14:textId="77777777" w:rsidR="00C640B5" w:rsidRPr="00830B5B" w:rsidRDefault="00C640B5" w:rsidP="00C640B5">
            <w:pPr>
              <w:spacing w:before="60"/>
              <w:rPr>
                <w:rFonts w:cs="Times New Roman"/>
                <w:i/>
                <w:sz w:val="24"/>
                <w:lang w:val="nl-NL"/>
              </w:rPr>
            </w:pPr>
            <w:r w:rsidRPr="00830B5B">
              <w:rPr>
                <w:rFonts w:cs="Times New Roman"/>
                <w:i/>
                <w:sz w:val="24"/>
                <w:lang w:val="nl-NL"/>
              </w:rPr>
              <w:t>2. Thực hiện nghĩa vụ thuế đối với hoạt động nhận chuyển nhượng quyền sử dụng kho số viễn thông, tên miền Internet (nếu có) theo quy định của pháp luật về thuế.”</w:t>
            </w:r>
          </w:p>
          <w:p w14:paraId="0D02BE1A" w14:textId="4CD07C73" w:rsidR="00C640B5" w:rsidRPr="00830B5B" w:rsidRDefault="00C640B5" w:rsidP="00C640B5">
            <w:pPr>
              <w:spacing w:before="60"/>
              <w:rPr>
                <w:rFonts w:cs="Times New Roman"/>
                <w:sz w:val="24"/>
              </w:rPr>
            </w:pPr>
            <w:r w:rsidRPr="00830B5B">
              <w:rPr>
                <w:rFonts w:cs="Times New Roman"/>
                <w:sz w:val="24"/>
                <w:lang w:val="nl-NL"/>
              </w:rPr>
              <w:t>Lý do: về nguyên tắc bên chuyển nhượng là bên phát sinh thu nhập nên bên chuyển nhượng sẽ có trách nhiệm khai, nộp các loại thuế phát sinh. Tuy nhiên, có thể phát sinh một số trường hợp bên chuyển nhượng ủy quyền cho bên nhận chuyển nhượng khai, nộp thay.</w:t>
            </w:r>
          </w:p>
        </w:tc>
        <w:tc>
          <w:tcPr>
            <w:tcW w:w="5923" w:type="dxa"/>
          </w:tcPr>
          <w:p w14:paraId="3D43B5B3" w14:textId="77777777" w:rsidR="00C640B5" w:rsidRPr="00830B5B" w:rsidRDefault="00C640B5" w:rsidP="00C640B5">
            <w:pPr>
              <w:rPr>
                <w:rFonts w:cs="Times New Roman"/>
                <w:b/>
                <w:sz w:val="24"/>
                <w:lang w:val="en-US"/>
              </w:rPr>
            </w:pPr>
            <w:r w:rsidRPr="00830B5B">
              <w:rPr>
                <w:rFonts w:cs="Times New Roman"/>
                <w:b/>
                <w:sz w:val="24"/>
                <w:lang w:val="en-US"/>
              </w:rPr>
              <w:t>Tiếp thu</w:t>
            </w:r>
          </w:p>
          <w:p w14:paraId="699E6E17" w14:textId="12A9202D" w:rsidR="00C640B5" w:rsidRPr="00830B5B" w:rsidRDefault="00C640B5" w:rsidP="00C640B5">
            <w:pPr>
              <w:rPr>
                <w:rFonts w:cs="Times New Roman"/>
                <w:sz w:val="24"/>
                <w:lang w:val="en-US"/>
              </w:rPr>
            </w:pPr>
          </w:p>
        </w:tc>
      </w:tr>
      <w:tr w:rsidR="00C640B5" w:rsidRPr="00830B5B" w14:paraId="4A532F80" w14:textId="77777777" w:rsidTr="00830B5B">
        <w:tc>
          <w:tcPr>
            <w:tcW w:w="671" w:type="dxa"/>
            <w:vAlign w:val="center"/>
          </w:tcPr>
          <w:p w14:paraId="53CAF3DA" w14:textId="1D7F942B" w:rsidR="00C640B5" w:rsidRPr="00830B5B" w:rsidRDefault="00C640B5" w:rsidP="00C640B5">
            <w:pPr>
              <w:jc w:val="center"/>
              <w:rPr>
                <w:rFonts w:cs="Times New Roman"/>
                <w:b/>
                <w:sz w:val="24"/>
                <w:lang w:val="en-US"/>
              </w:rPr>
            </w:pPr>
            <w:r w:rsidRPr="00830B5B">
              <w:rPr>
                <w:rFonts w:cs="Times New Roman"/>
                <w:b/>
                <w:sz w:val="24"/>
                <w:lang w:val="en-US"/>
              </w:rPr>
              <w:t>19</w:t>
            </w:r>
          </w:p>
        </w:tc>
        <w:tc>
          <w:tcPr>
            <w:tcW w:w="1399" w:type="dxa"/>
          </w:tcPr>
          <w:p w14:paraId="6A57044A" w14:textId="77777777" w:rsidR="00C640B5" w:rsidRPr="00830B5B" w:rsidRDefault="00C640B5" w:rsidP="00C640B5">
            <w:pPr>
              <w:spacing w:before="60" w:line="252" w:lineRule="auto"/>
              <w:jc w:val="left"/>
              <w:rPr>
                <w:rFonts w:cs="Times New Roman"/>
                <w:b/>
                <w:sz w:val="24"/>
                <w:lang w:val="nl-NL"/>
              </w:rPr>
            </w:pPr>
          </w:p>
          <w:p w14:paraId="274C6D57" w14:textId="77777777" w:rsidR="00C640B5" w:rsidRPr="00830B5B" w:rsidRDefault="00C640B5" w:rsidP="00C640B5">
            <w:pPr>
              <w:spacing w:before="60" w:line="252" w:lineRule="auto"/>
              <w:jc w:val="left"/>
              <w:rPr>
                <w:rFonts w:cs="Times New Roman"/>
                <w:b/>
                <w:sz w:val="24"/>
                <w:lang w:val="nl-NL"/>
              </w:rPr>
            </w:pPr>
          </w:p>
          <w:p w14:paraId="3A0B7002" w14:textId="77777777" w:rsidR="00C640B5" w:rsidRPr="00830B5B" w:rsidRDefault="00C640B5" w:rsidP="00C640B5">
            <w:pPr>
              <w:spacing w:before="60" w:line="252" w:lineRule="auto"/>
              <w:jc w:val="left"/>
              <w:rPr>
                <w:rFonts w:cs="Times New Roman"/>
                <w:sz w:val="24"/>
                <w:lang w:val="nl-NL"/>
              </w:rPr>
            </w:pPr>
          </w:p>
          <w:p w14:paraId="2D441383" w14:textId="60BAC5C7" w:rsidR="00C640B5" w:rsidRPr="00830B5B" w:rsidRDefault="00C640B5" w:rsidP="00C640B5">
            <w:pPr>
              <w:spacing w:before="60" w:line="252" w:lineRule="auto"/>
              <w:jc w:val="left"/>
              <w:rPr>
                <w:rFonts w:cs="Times New Roman"/>
                <w:b/>
                <w:sz w:val="24"/>
                <w:lang w:val="nl-NL"/>
              </w:rPr>
            </w:pPr>
            <w:r w:rsidRPr="00830B5B">
              <w:rPr>
                <w:rFonts w:cs="Times New Roman"/>
                <w:sz w:val="24"/>
                <w:lang w:val="nl-NL"/>
              </w:rPr>
              <w:t>Về trách nhiệm của Bộ Tài chính trong việc tổ chức thực hiện quy định tại Điều 41</w:t>
            </w:r>
          </w:p>
        </w:tc>
        <w:tc>
          <w:tcPr>
            <w:tcW w:w="1530" w:type="dxa"/>
            <w:vAlign w:val="center"/>
          </w:tcPr>
          <w:p w14:paraId="7A773C2D" w14:textId="0545F7CA" w:rsidR="00C640B5" w:rsidRPr="00830B5B" w:rsidRDefault="00C640B5" w:rsidP="00C640B5">
            <w:pPr>
              <w:spacing w:before="60" w:line="252" w:lineRule="auto"/>
              <w:rPr>
                <w:rFonts w:cs="Times New Roman"/>
                <w:sz w:val="24"/>
                <w:lang w:val="nl-NL"/>
              </w:rPr>
            </w:pPr>
            <w:r w:rsidRPr="00830B5B">
              <w:rPr>
                <w:rFonts w:cs="Times New Roman"/>
                <w:b/>
                <w:sz w:val="24"/>
                <w:lang w:val="en-US"/>
              </w:rPr>
              <w:t>Bộ Tài chính</w:t>
            </w:r>
          </w:p>
        </w:tc>
        <w:tc>
          <w:tcPr>
            <w:tcW w:w="6300" w:type="dxa"/>
          </w:tcPr>
          <w:p w14:paraId="743F22D3" w14:textId="0624260D" w:rsidR="00C640B5" w:rsidRPr="00830B5B" w:rsidRDefault="00C640B5" w:rsidP="00C640B5">
            <w:pPr>
              <w:spacing w:before="60" w:line="252" w:lineRule="auto"/>
              <w:rPr>
                <w:rFonts w:cs="Times New Roman"/>
                <w:sz w:val="24"/>
                <w:lang w:val="nl-NL"/>
              </w:rPr>
            </w:pPr>
            <w:r w:rsidRPr="00830B5B">
              <w:rPr>
                <w:rFonts w:cs="Times New Roman"/>
                <w:sz w:val="24"/>
                <w:lang w:val="nl-NL"/>
              </w:rPr>
              <w:t xml:space="preserve">Đề nghị bỏ quy định tại khoản 1 Điều 42 dự thảo Quyết định: </w:t>
            </w:r>
            <w:r w:rsidRPr="00830B5B">
              <w:rPr>
                <w:rFonts w:cs="Times New Roman"/>
                <w:i/>
                <w:sz w:val="24"/>
                <w:lang w:val="nl-NL"/>
              </w:rPr>
              <w:t>“1. Bộ trưởng Bộ Thông tin và Truyền thông có trách nhiệm hướng dẫn thực hiện Quyết định này; Bộ Tài chính chủ trì, phối hợp với Bộ Thông tin và Truyền thông xây dựng và trình cơ quan nhà nước có thẩm quyền ban hành quy định, hướng dẫn về thuế chuyển nhượng quyền sử dụng kho số viễn thông, tên miền Internet và phương pháp định giá đối với tài nguyên kho số viễn thông, tên miền Internet.”</w:t>
            </w:r>
          </w:p>
          <w:p w14:paraId="570D378D" w14:textId="77777777" w:rsidR="00C640B5" w:rsidRPr="00830B5B" w:rsidRDefault="00C640B5" w:rsidP="00C640B5">
            <w:pPr>
              <w:spacing w:before="60" w:line="252" w:lineRule="auto"/>
              <w:rPr>
                <w:rFonts w:cs="Times New Roman"/>
                <w:sz w:val="24"/>
                <w:lang w:val="nl-NL"/>
              </w:rPr>
            </w:pPr>
            <w:r w:rsidRPr="00830B5B">
              <w:rPr>
                <w:rFonts w:cs="Times New Roman"/>
                <w:sz w:val="24"/>
                <w:lang w:val="nl-NL"/>
              </w:rPr>
              <w:t xml:space="preserve">Lý do: Pháp luật về thuế đã có đầy đủ quy định trong trường hợp chuyển nhượng, mua bán. Đồng thời, căn cứ quy định tại khoản 2 Điều 21 Luật Giá thì phương pháp định giá đối với hàng hóa, dịch vụ lĩnh vực viễn thông thuộc thẩm quyền hướng dẫn của Bộ Thông tin và Truyền thông. Mặt khác, dự thảo Quyết </w:t>
            </w:r>
            <w:r w:rsidRPr="00830B5B">
              <w:rPr>
                <w:rFonts w:cs="Times New Roman"/>
                <w:sz w:val="24"/>
                <w:lang w:val="nl-NL"/>
              </w:rPr>
              <w:lastRenderedPageBreak/>
              <w:t>định đã quy định phương pháp định giá khởi điểm để đấu giá kho số viễn thông, tên miền Internet nên việc tiếp tục giao hướng dẫn phương pháp định giá là không cần thiết.</w:t>
            </w:r>
          </w:p>
          <w:p w14:paraId="23246364" w14:textId="28989379" w:rsidR="00C640B5" w:rsidRPr="00830B5B" w:rsidRDefault="00C640B5" w:rsidP="00C640B5">
            <w:pPr>
              <w:spacing w:before="60" w:line="252" w:lineRule="auto"/>
              <w:rPr>
                <w:rFonts w:cs="Times New Roman"/>
                <w:sz w:val="24"/>
              </w:rPr>
            </w:pPr>
          </w:p>
        </w:tc>
        <w:tc>
          <w:tcPr>
            <w:tcW w:w="5923" w:type="dxa"/>
          </w:tcPr>
          <w:p w14:paraId="4605B963" w14:textId="5B700AEE" w:rsidR="00C640B5" w:rsidRPr="00830B5B" w:rsidRDefault="0075024E" w:rsidP="00C640B5">
            <w:pPr>
              <w:rPr>
                <w:rFonts w:cs="Times New Roman"/>
                <w:b/>
                <w:sz w:val="24"/>
                <w:lang w:val="en-US"/>
              </w:rPr>
            </w:pPr>
            <w:r w:rsidRPr="00830B5B">
              <w:rPr>
                <w:rFonts w:cs="Times New Roman"/>
                <w:b/>
                <w:sz w:val="24"/>
                <w:lang w:val="en-US"/>
              </w:rPr>
              <w:lastRenderedPageBreak/>
              <w:t>Tiếp thu</w:t>
            </w:r>
          </w:p>
          <w:p w14:paraId="64A5DE6F" w14:textId="746034E8" w:rsidR="00C640B5" w:rsidRPr="00830B5B" w:rsidRDefault="00C640B5" w:rsidP="00C640B5">
            <w:pPr>
              <w:rPr>
                <w:rFonts w:cs="Times New Roman"/>
                <w:b/>
                <w:sz w:val="24"/>
                <w:lang w:val="en-US"/>
              </w:rPr>
            </w:pPr>
            <w:r w:rsidRPr="00830B5B">
              <w:rPr>
                <w:rFonts w:cs="Times New Roman"/>
                <w:sz w:val="24"/>
                <w:lang w:val="nl-NL"/>
              </w:rPr>
              <w:t xml:space="preserve"> </w:t>
            </w:r>
          </w:p>
        </w:tc>
      </w:tr>
    </w:tbl>
    <w:p w14:paraId="1C6F8222" w14:textId="77777777" w:rsidR="00532C02" w:rsidRDefault="00532C02" w:rsidP="000B062B">
      <w:pPr>
        <w:rPr>
          <w:b/>
          <w:lang w:val="en-US"/>
        </w:rPr>
      </w:pPr>
    </w:p>
    <w:p w14:paraId="7CE01F13" w14:textId="77777777" w:rsidR="00532C02" w:rsidRDefault="00532C02" w:rsidP="000B062B">
      <w:pPr>
        <w:rPr>
          <w:b/>
          <w:lang w:val="en-US"/>
        </w:rPr>
      </w:pPr>
    </w:p>
    <w:p w14:paraId="3A29F034" w14:textId="77777777" w:rsidR="00B14073" w:rsidRPr="00B14073" w:rsidRDefault="00B14073" w:rsidP="00B14073">
      <w:pPr>
        <w:jc w:val="right"/>
        <w:rPr>
          <w:lang w:val="vi-VN"/>
        </w:rPr>
      </w:pPr>
    </w:p>
    <w:sectPr w:rsidR="00B14073" w:rsidRPr="00B14073" w:rsidSect="009910C1">
      <w:headerReference w:type="default" r:id="rId8"/>
      <w:pgSz w:w="16840" w:h="11907" w:orient="landscape" w:code="9"/>
      <w:pgMar w:top="851" w:right="1134" w:bottom="851"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F0995" w14:textId="77777777" w:rsidR="00F22322" w:rsidRDefault="00F22322" w:rsidP="00A3538D">
      <w:r>
        <w:separator/>
      </w:r>
    </w:p>
  </w:endnote>
  <w:endnote w:type="continuationSeparator" w:id="0">
    <w:p w14:paraId="18C1D6B6" w14:textId="77777777" w:rsidR="00F22322" w:rsidRDefault="00F22322" w:rsidP="00A3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20000001" w:usb1="00000000" w:usb2="00000000" w:usb3="00000000" w:csb0="00000100" w:csb1="00000000"/>
  </w:font>
  <w:font w:name="Courier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6AFE2" w14:textId="77777777" w:rsidR="00F22322" w:rsidRDefault="00F22322" w:rsidP="00A3538D">
      <w:r>
        <w:separator/>
      </w:r>
    </w:p>
  </w:footnote>
  <w:footnote w:type="continuationSeparator" w:id="0">
    <w:p w14:paraId="5B7310A2" w14:textId="77777777" w:rsidR="00F22322" w:rsidRDefault="00F22322" w:rsidP="00A35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9832777"/>
      <w:docPartObj>
        <w:docPartGallery w:val="Page Numbers (Top of Page)"/>
        <w:docPartUnique/>
      </w:docPartObj>
    </w:sdtPr>
    <w:sdtEndPr>
      <w:rPr>
        <w:noProof/>
      </w:rPr>
    </w:sdtEndPr>
    <w:sdtContent>
      <w:p w14:paraId="663A3E02" w14:textId="4DE5966A" w:rsidR="00825587" w:rsidRDefault="00F22322">
        <w:pPr>
          <w:pStyle w:val="Header"/>
          <w:jc w:val="center"/>
        </w:pPr>
      </w:p>
    </w:sdtContent>
  </w:sdt>
  <w:p w14:paraId="6369B974" w14:textId="77777777" w:rsidR="00825587" w:rsidRDefault="00825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1477F"/>
    <w:multiLevelType w:val="hybridMultilevel"/>
    <w:tmpl w:val="1138083C"/>
    <w:lvl w:ilvl="0" w:tplc="4B02F1B0">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C0AED"/>
    <w:multiLevelType w:val="hybridMultilevel"/>
    <w:tmpl w:val="BA829E0E"/>
    <w:lvl w:ilvl="0" w:tplc="108E8CE4">
      <w:numFmt w:val="bullet"/>
      <w:lvlText w:val="-"/>
      <w:lvlJc w:val="left"/>
      <w:pPr>
        <w:ind w:left="720" w:hanging="360"/>
      </w:pPr>
      <w:rPr>
        <w:rFonts w:ascii="Times New Roman" w:eastAsia="Times New Roman" w:hAnsi="Times New Roman" w:cs="Times New Roman" w:hint="default"/>
        <w:color w:val="auto"/>
      </w:rPr>
    </w:lvl>
    <w:lvl w:ilvl="1" w:tplc="E182C1C0">
      <w:start w:val="1"/>
      <w:numFmt w:val="bullet"/>
      <w:lvlText w:val=""/>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151A9"/>
    <w:multiLevelType w:val="hybridMultilevel"/>
    <w:tmpl w:val="D182E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263CB1"/>
    <w:multiLevelType w:val="hybridMultilevel"/>
    <w:tmpl w:val="C280392A"/>
    <w:lvl w:ilvl="0" w:tplc="B9CAF182">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7B692A"/>
    <w:multiLevelType w:val="hybridMultilevel"/>
    <w:tmpl w:val="1C6CCD8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C20B02"/>
    <w:multiLevelType w:val="hybridMultilevel"/>
    <w:tmpl w:val="ABDA4EB2"/>
    <w:lvl w:ilvl="0" w:tplc="D9FE887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8489B"/>
    <w:multiLevelType w:val="hybridMultilevel"/>
    <w:tmpl w:val="A6C421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B12"/>
    <w:rsid w:val="000030C9"/>
    <w:rsid w:val="0000319B"/>
    <w:rsid w:val="00012D94"/>
    <w:rsid w:val="00017098"/>
    <w:rsid w:val="00021BD1"/>
    <w:rsid w:val="00024CBB"/>
    <w:rsid w:val="00027792"/>
    <w:rsid w:val="00030491"/>
    <w:rsid w:val="00031111"/>
    <w:rsid w:val="00031E83"/>
    <w:rsid w:val="000400D2"/>
    <w:rsid w:val="000412C6"/>
    <w:rsid w:val="00044CBF"/>
    <w:rsid w:val="0004614C"/>
    <w:rsid w:val="000466B7"/>
    <w:rsid w:val="000472E8"/>
    <w:rsid w:val="0004780F"/>
    <w:rsid w:val="00047F8D"/>
    <w:rsid w:val="00051137"/>
    <w:rsid w:val="0005427D"/>
    <w:rsid w:val="000544EC"/>
    <w:rsid w:val="00056545"/>
    <w:rsid w:val="00057924"/>
    <w:rsid w:val="0006062B"/>
    <w:rsid w:val="00061E41"/>
    <w:rsid w:val="000631C5"/>
    <w:rsid w:val="00070525"/>
    <w:rsid w:val="00073426"/>
    <w:rsid w:val="000749A0"/>
    <w:rsid w:val="00076A25"/>
    <w:rsid w:val="000859D7"/>
    <w:rsid w:val="000862F1"/>
    <w:rsid w:val="00091271"/>
    <w:rsid w:val="000A1179"/>
    <w:rsid w:val="000A5A6C"/>
    <w:rsid w:val="000A5C9E"/>
    <w:rsid w:val="000A7789"/>
    <w:rsid w:val="000A7966"/>
    <w:rsid w:val="000B062B"/>
    <w:rsid w:val="000B4944"/>
    <w:rsid w:val="000C023A"/>
    <w:rsid w:val="000C1CCE"/>
    <w:rsid w:val="000C63FB"/>
    <w:rsid w:val="000D10CC"/>
    <w:rsid w:val="000D1EEF"/>
    <w:rsid w:val="000D4278"/>
    <w:rsid w:val="000D4D05"/>
    <w:rsid w:val="000E342B"/>
    <w:rsid w:val="000E3F96"/>
    <w:rsid w:val="000E42BE"/>
    <w:rsid w:val="000E5BFF"/>
    <w:rsid w:val="000E6F25"/>
    <w:rsid w:val="000F3330"/>
    <w:rsid w:val="000F440B"/>
    <w:rsid w:val="000F640A"/>
    <w:rsid w:val="000F70C4"/>
    <w:rsid w:val="000F73BE"/>
    <w:rsid w:val="00100153"/>
    <w:rsid w:val="001001C7"/>
    <w:rsid w:val="00105DB5"/>
    <w:rsid w:val="00107E09"/>
    <w:rsid w:val="00113D49"/>
    <w:rsid w:val="00116E6C"/>
    <w:rsid w:val="001201B7"/>
    <w:rsid w:val="00120FAC"/>
    <w:rsid w:val="00124D6E"/>
    <w:rsid w:val="001252A8"/>
    <w:rsid w:val="00131371"/>
    <w:rsid w:val="0013780A"/>
    <w:rsid w:val="00137B12"/>
    <w:rsid w:val="001424E5"/>
    <w:rsid w:val="00145C18"/>
    <w:rsid w:val="00145DDC"/>
    <w:rsid w:val="00145F16"/>
    <w:rsid w:val="00150092"/>
    <w:rsid w:val="00154583"/>
    <w:rsid w:val="00154B16"/>
    <w:rsid w:val="001658C6"/>
    <w:rsid w:val="00174D67"/>
    <w:rsid w:val="00175E42"/>
    <w:rsid w:val="00176D1F"/>
    <w:rsid w:val="00181DDE"/>
    <w:rsid w:val="00182939"/>
    <w:rsid w:val="00183477"/>
    <w:rsid w:val="001842E5"/>
    <w:rsid w:val="00187BF0"/>
    <w:rsid w:val="00190816"/>
    <w:rsid w:val="001921BD"/>
    <w:rsid w:val="0019647B"/>
    <w:rsid w:val="001A0B0C"/>
    <w:rsid w:val="001A2174"/>
    <w:rsid w:val="001A6B6C"/>
    <w:rsid w:val="001B0015"/>
    <w:rsid w:val="001B1599"/>
    <w:rsid w:val="001B24D5"/>
    <w:rsid w:val="001B4310"/>
    <w:rsid w:val="001C3C8F"/>
    <w:rsid w:val="001C524E"/>
    <w:rsid w:val="001D065B"/>
    <w:rsid w:val="001D4434"/>
    <w:rsid w:val="001E43D4"/>
    <w:rsid w:val="001E477A"/>
    <w:rsid w:val="001E522E"/>
    <w:rsid w:val="001F19E0"/>
    <w:rsid w:val="001F4618"/>
    <w:rsid w:val="001F4988"/>
    <w:rsid w:val="001F734C"/>
    <w:rsid w:val="00200AC4"/>
    <w:rsid w:val="002076D7"/>
    <w:rsid w:val="002121AD"/>
    <w:rsid w:val="00212A06"/>
    <w:rsid w:val="002158FE"/>
    <w:rsid w:val="00216873"/>
    <w:rsid w:val="00220923"/>
    <w:rsid w:val="00221050"/>
    <w:rsid w:val="00226661"/>
    <w:rsid w:val="00230874"/>
    <w:rsid w:val="00232EC3"/>
    <w:rsid w:val="00235356"/>
    <w:rsid w:val="002426B7"/>
    <w:rsid w:val="0024287A"/>
    <w:rsid w:val="00242E41"/>
    <w:rsid w:val="0024632F"/>
    <w:rsid w:val="00250509"/>
    <w:rsid w:val="00250B95"/>
    <w:rsid w:val="00250C4A"/>
    <w:rsid w:val="00251E14"/>
    <w:rsid w:val="00255CDD"/>
    <w:rsid w:val="0025693E"/>
    <w:rsid w:val="00257C03"/>
    <w:rsid w:val="00261AA3"/>
    <w:rsid w:val="002643B9"/>
    <w:rsid w:val="00264692"/>
    <w:rsid w:val="00273589"/>
    <w:rsid w:val="0027462F"/>
    <w:rsid w:val="0027530E"/>
    <w:rsid w:val="00275E16"/>
    <w:rsid w:val="00280B8E"/>
    <w:rsid w:val="00280F46"/>
    <w:rsid w:val="00281C32"/>
    <w:rsid w:val="00282491"/>
    <w:rsid w:val="00283381"/>
    <w:rsid w:val="00291EE4"/>
    <w:rsid w:val="00292F97"/>
    <w:rsid w:val="00294A55"/>
    <w:rsid w:val="00295E39"/>
    <w:rsid w:val="00295EAF"/>
    <w:rsid w:val="0029632A"/>
    <w:rsid w:val="00297B8A"/>
    <w:rsid w:val="002A19FA"/>
    <w:rsid w:val="002A2CB6"/>
    <w:rsid w:val="002A7843"/>
    <w:rsid w:val="002B0A3A"/>
    <w:rsid w:val="002B54CC"/>
    <w:rsid w:val="002B6C5B"/>
    <w:rsid w:val="002B7B65"/>
    <w:rsid w:val="002C1613"/>
    <w:rsid w:val="002C1631"/>
    <w:rsid w:val="002C27D8"/>
    <w:rsid w:val="002C72D5"/>
    <w:rsid w:val="002D08F8"/>
    <w:rsid w:val="002D1779"/>
    <w:rsid w:val="002D2DDA"/>
    <w:rsid w:val="002D753C"/>
    <w:rsid w:val="002E233C"/>
    <w:rsid w:val="002E2F69"/>
    <w:rsid w:val="002E4AC2"/>
    <w:rsid w:val="002F0E08"/>
    <w:rsid w:val="002F51EF"/>
    <w:rsid w:val="002F72F3"/>
    <w:rsid w:val="00301CC0"/>
    <w:rsid w:val="003038C1"/>
    <w:rsid w:val="003104AC"/>
    <w:rsid w:val="003132A4"/>
    <w:rsid w:val="00313EEF"/>
    <w:rsid w:val="0031721E"/>
    <w:rsid w:val="00317615"/>
    <w:rsid w:val="00317C47"/>
    <w:rsid w:val="003223F7"/>
    <w:rsid w:val="00322A19"/>
    <w:rsid w:val="00323845"/>
    <w:rsid w:val="0032766F"/>
    <w:rsid w:val="00332F30"/>
    <w:rsid w:val="0033360F"/>
    <w:rsid w:val="0033362D"/>
    <w:rsid w:val="0033377E"/>
    <w:rsid w:val="00333927"/>
    <w:rsid w:val="00341683"/>
    <w:rsid w:val="00344C8F"/>
    <w:rsid w:val="00345434"/>
    <w:rsid w:val="00345D61"/>
    <w:rsid w:val="003514BB"/>
    <w:rsid w:val="00352EFD"/>
    <w:rsid w:val="003562D7"/>
    <w:rsid w:val="003564C4"/>
    <w:rsid w:val="003565DC"/>
    <w:rsid w:val="0035753B"/>
    <w:rsid w:val="0035793C"/>
    <w:rsid w:val="00360592"/>
    <w:rsid w:val="00365A50"/>
    <w:rsid w:val="003703DE"/>
    <w:rsid w:val="003704BA"/>
    <w:rsid w:val="00370A6A"/>
    <w:rsid w:val="003718B3"/>
    <w:rsid w:val="00377AD1"/>
    <w:rsid w:val="003813DB"/>
    <w:rsid w:val="00383800"/>
    <w:rsid w:val="00384C44"/>
    <w:rsid w:val="003A72AC"/>
    <w:rsid w:val="003B3175"/>
    <w:rsid w:val="003B552D"/>
    <w:rsid w:val="003C083F"/>
    <w:rsid w:val="003C12C8"/>
    <w:rsid w:val="003C15B5"/>
    <w:rsid w:val="003C1C50"/>
    <w:rsid w:val="003C2EA4"/>
    <w:rsid w:val="003D12E1"/>
    <w:rsid w:val="003D3F04"/>
    <w:rsid w:val="003D6255"/>
    <w:rsid w:val="003E1247"/>
    <w:rsid w:val="003E23EF"/>
    <w:rsid w:val="003E3FB6"/>
    <w:rsid w:val="003E4A0D"/>
    <w:rsid w:val="003F23BE"/>
    <w:rsid w:val="003F2768"/>
    <w:rsid w:val="003F2A57"/>
    <w:rsid w:val="003F2E70"/>
    <w:rsid w:val="003F500C"/>
    <w:rsid w:val="00400319"/>
    <w:rsid w:val="00401919"/>
    <w:rsid w:val="00401A80"/>
    <w:rsid w:val="00403643"/>
    <w:rsid w:val="00412467"/>
    <w:rsid w:val="00412707"/>
    <w:rsid w:val="00415AB7"/>
    <w:rsid w:val="00416214"/>
    <w:rsid w:val="00421102"/>
    <w:rsid w:val="00422CE0"/>
    <w:rsid w:val="00423DE7"/>
    <w:rsid w:val="0042423B"/>
    <w:rsid w:val="00430724"/>
    <w:rsid w:val="00433F81"/>
    <w:rsid w:val="004358DC"/>
    <w:rsid w:val="00437C84"/>
    <w:rsid w:val="004403E6"/>
    <w:rsid w:val="004430BD"/>
    <w:rsid w:val="004430DE"/>
    <w:rsid w:val="00447F29"/>
    <w:rsid w:val="00450F37"/>
    <w:rsid w:val="004546D2"/>
    <w:rsid w:val="00455B7D"/>
    <w:rsid w:val="00462144"/>
    <w:rsid w:val="00462DE1"/>
    <w:rsid w:val="0046720E"/>
    <w:rsid w:val="00467977"/>
    <w:rsid w:val="004766CD"/>
    <w:rsid w:val="004779D1"/>
    <w:rsid w:val="00480E22"/>
    <w:rsid w:val="00481AA4"/>
    <w:rsid w:val="004828B1"/>
    <w:rsid w:val="004862EE"/>
    <w:rsid w:val="00486766"/>
    <w:rsid w:val="004873F9"/>
    <w:rsid w:val="00493563"/>
    <w:rsid w:val="004962E4"/>
    <w:rsid w:val="00496849"/>
    <w:rsid w:val="004969CD"/>
    <w:rsid w:val="00497561"/>
    <w:rsid w:val="00497DF3"/>
    <w:rsid w:val="004A0C0F"/>
    <w:rsid w:val="004A2D0A"/>
    <w:rsid w:val="004A5782"/>
    <w:rsid w:val="004A67BF"/>
    <w:rsid w:val="004A69A8"/>
    <w:rsid w:val="004B2DDD"/>
    <w:rsid w:val="004B3A6A"/>
    <w:rsid w:val="004B6B5E"/>
    <w:rsid w:val="004B7D24"/>
    <w:rsid w:val="004C0556"/>
    <w:rsid w:val="004C2093"/>
    <w:rsid w:val="004C3908"/>
    <w:rsid w:val="004C428C"/>
    <w:rsid w:val="004C7D47"/>
    <w:rsid w:val="004C7E31"/>
    <w:rsid w:val="004D19C3"/>
    <w:rsid w:val="004D3ED1"/>
    <w:rsid w:val="004D4BE6"/>
    <w:rsid w:val="004D5186"/>
    <w:rsid w:val="004D69CF"/>
    <w:rsid w:val="004D70BA"/>
    <w:rsid w:val="004E148A"/>
    <w:rsid w:val="004E2802"/>
    <w:rsid w:val="004E7496"/>
    <w:rsid w:val="004F03E8"/>
    <w:rsid w:val="004F0461"/>
    <w:rsid w:val="004F0E24"/>
    <w:rsid w:val="004F2C94"/>
    <w:rsid w:val="004F4DA8"/>
    <w:rsid w:val="004F5B8C"/>
    <w:rsid w:val="004F7698"/>
    <w:rsid w:val="00500925"/>
    <w:rsid w:val="00504109"/>
    <w:rsid w:val="005077DF"/>
    <w:rsid w:val="00511F71"/>
    <w:rsid w:val="0051265F"/>
    <w:rsid w:val="00512C44"/>
    <w:rsid w:val="00515B6B"/>
    <w:rsid w:val="0051667F"/>
    <w:rsid w:val="00517D52"/>
    <w:rsid w:val="00525EBE"/>
    <w:rsid w:val="00527A26"/>
    <w:rsid w:val="005311D8"/>
    <w:rsid w:val="00532C02"/>
    <w:rsid w:val="00544034"/>
    <w:rsid w:val="005440FE"/>
    <w:rsid w:val="00545ED7"/>
    <w:rsid w:val="0055090B"/>
    <w:rsid w:val="00550D7E"/>
    <w:rsid w:val="00551C13"/>
    <w:rsid w:val="005550DB"/>
    <w:rsid w:val="0056052E"/>
    <w:rsid w:val="00560ED7"/>
    <w:rsid w:val="00564EB5"/>
    <w:rsid w:val="005650F3"/>
    <w:rsid w:val="005672CB"/>
    <w:rsid w:val="005743D5"/>
    <w:rsid w:val="00580AB4"/>
    <w:rsid w:val="00582820"/>
    <w:rsid w:val="00586F83"/>
    <w:rsid w:val="005871E2"/>
    <w:rsid w:val="0058720F"/>
    <w:rsid w:val="00592FF0"/>
    <w:rsid w:val="00593D12"/>
    <w:rsid w:val="00593FE4"/>
    <w:rsid w:val="00594578"/>
    <w:rsid w:val="00595DF3"/>
    <w:rsid w:val="0059643A"/>
    <w:rsid w:val="00596919"/>
    <w:rsid w:val="00596FE6"/>
    <w:rsid w:val="0059772A"/>
    <w:rsid w:val="005A6095"/>
    <w:rsid w:val="005A649F"/>
    <w:rsid w:val="005A7662"/>
    <w:rsid w:val="005B1DED"/>
    <w:rsid w:val="005B26B3"/>
    <w:rsid w:val="005B63F3"/>
    <w:rsid w:val="005C0008"/>
    <w:rsid w:val="005C0028"/>
    <w:rsid w:val="005C1C61"/>
    <w:rsid w:val="005C2F9C"/>
    <w:rsid w:val="005C5768"/>
    <w:rsid w:val="005C6146"/>
    <w:rsid w:val="005D47D0"/>
    <w:rsid w:val="005D49D3"/>
    <w:rsid w:val="005D4ACC"/>
    <w:rsid w:val="005D4BF1"/>
    <w:rsid w:val="005D5C75"/>
    <w:rsid w:val="005E2985"/>
    <w:rsid w:val="005E3D3D"/>
    <w:rsid w:val="005E3E61"/>
    <w:rsid w:val="005E5B17"/>
    <w:rsid w:val="005E6655"/>
    <w:rsid w:val="005E7DE1"/>
    <w:rsid w:val="005F1E9A"/>
    <w:rsid w:val="005F1F74"/>
    <w:rsid w:val="005F3585"/>
    <w:rsid w:val="005F497E"/>
    <w:rsid w:val="005F4E19"/>
    <w:rsid w:val="005F6737"/>
    <w:rsid w:val="005F7C64"/>
    <w:rsid w:val="006014D3"/>
    <w:rsid w:val="00601DC2"/>
    <w:rsid w:val="0060283D"/>
    <w:rsid w:val="00602C2C"/>
    <w:rsid w:val="00606428"/>
    <w:rsid w:val="0061078F"/>
    <w:rsid w:val="00611CBC"/>
    <w:rsid w:val="00624B6B"/>
    <w:rsid w:val="0062684B"/>
    <w:rsid w:val="00631D8B"/>
    <w:rsid w:val="00632D16"/>
    <w:rsid w:val="006335E3"/>
    <w:rsid w:val="00636A73"/>
    <w:rsid w:val="00636EB3"/>
    <w:rsid w:val="00637C05"/>
    <w:rsid w:val="00640F5C"/>
    <w:rsid w:val="00646A05"/>
    <w:rsid w:val="00647A2C"/>
    <w:rsid w:val="00650D2A"/>
    <w:rsid w:val="006532DF"/>
    <w:rsid w:val="00656B37"/>
    <w:rsid w:val="006577D0"/>
    <w:rsid w:val="00661C51"/>
    <w:rsid w:val="006645CF"/>
    <w:rsid w:val="006648D7"/>
    <w:rsid w:val="00665D53"/>
    <w:rsid w:val="0067067A"/>
    <w:rsid w:val="006720A5"/>
    <w:rsid w:val="00676AB5"/>
    <w:rsid w:val="0068003D"/>
    <w:rsid w:val="00682D4C"/>
    <w:rsid w:val="00684778"/>
    <w:rsid w:val="0068522C"/>
    <w:rsid w:val="006854B8"/>
    <w:rsid w:val="00685801"/>
    <w:rsid w:val="00686EA3"/>
    <w:rsid w:val="006878EC"/>
    <w:rsid w:val="00693A20"/>
    <w:rsid w:val="006965BD"/>
    <w:rsid w:val="00697D6D"/>
    <w:rsid w:val="006A068D"/>
    <w:rsid w:val="006A1246"/>
    <w:rsid w:val="006A1A1C"/>
    <w:rsid w:val="006B0090"/>
    <w:rsid w:val="006B73B2"/>
    <w:rsid w:val="006B79CA"/>
    <w:rsid w:val="006C0B11"/>
    <w:rsid w:val="006C1B10"/>
    <w:rsid w:val="006C240A"/>
    <w:rsid w:val="006C3CAF"/>
    <w:rsid w:val="006C7D04"/>
    <w:rsid w:val="006D0C19"/>
    <w:rsid w:val="006D26F7"/>
    <w:rsid w:val="006D4BA5"/>
    <w:rsid w:val="006D4F71"/>
    <w:rsid w:val="006D61E2"/>
    <w:rsid w:val="006D732C"/>
    <w:rsid w:val="006E49B6"/>
    <w:rsid w:val="006E5146"/>
    <w:rsid w:val="006F4DD1"/>
    <w:rsid w:val="00702B0C"/>
    <w:rsid w:val="007047A2"/>
    <w:rsid w:val="00705CC4"/>
    <w:rsid w:val="00711BC8"/>
    <w:rsid w:val="00713883"/>
    <w:rsid w:val="007226C8"/>
    <w:rsid w:val="00723E75"/>
    <w:rsid w:val="00724D08"/>
    <w:rsid w:val="0072744B"/>
    <w:rsid w:val="007311D8"/>
    <w:rsid w:val="00734820"/>
    <w:rsid w:val="00736BE2"/>
    <w:rsid w:val="00737E9C"/>
    <w:rsid w:val="00741A99"/>
    <w:rsid w:val="00743E74"/>
    <w:rsid w:val="00744AF3"/>
    <w:rsid w:val="0074594A"/>
    <w:rsid w:val="0075024E"/>
    <w:rsid w:val="007510AC"/>
    <w:rsid w:val="00751781"/>
    <w:rsid w:val="00753356"/>
    <w:rsid w:val="00760CC7"/>
    <w:rsid w:val="00771563"/>
    <w:rsid w:val="007724E2"/>
    <w:rsid w:val="00774491"/>
    <w:rsid w:val="0078291E"/>
    <w:rsid w:val="00783E81"/>
    <w:rsid w:val="007853D5"/>
    <w:rsid w:val="007856EB"/>
    <w:rsid w:val="00785705"/>
    <w:rsid w:val="00785995"/>
    <w:rsid w:val="0078644F"/>
    <w:rsid w:val="00793342"/>
    <w:rsid w:val="007933DD"/>
    <w:rsid w:val="00796256"/>
    <w:rsid w:val="007A0548"/>
    <w:rsid w:val="007A0BCB"/>
    <w:rsid w:val="007A1C8F"/>
    <w:rsid w:val="007A39F6"/>
    <w:rsid w:val="007A3AD6"/>
    <w:rsid w:val="007A433C"/>
    <w:rsid w:val="007A485A"/>
    <w:rsid w:val="007A685E"/>
    <w:rsid w:val="007B0896"/>
    <w:rsid w:val="007B2D3C"/>
    <w:rsid w:val="007B7219"/>
    <w:rsid w:val="007B7E84"/>
    <w:rsid w:val="007C6368"/>
    <w:rsid w:val="007C6C09"/>
    <w:rsid w:val="007C7A1D"/>
    <w:rsid w:val="007D5974"/>
    <w:rsid w:val="007D7673"/>
    <w:rsid w:val="007E00BA"/>
    <w:rsid w:val="007E1676"/>
    <w:rsid w:val="007E1CFF"/>
    <w:rsid w:val="007E381B"/>
    <w:rsid w:val="007F1AFF"/>
    <w:rsid w:val="007F1C35"/>
    <w:rsid w:val="007F4055"/>
    <w:rsid w:val="007F5EF6"/>
    <w:rsid w:val="007F7314"/>
    <w:rsid w:val="00803154"/>
    <w:rsid w:val="00803DFA"/>
    <w:rsid w:val="00805DAE"/>
    <w:rsid w:val="00807CC8"/>
    <w:rsid w:val="008143C2"/>
    <w:rsid w:val="00814459"/>
    <w:rsid w:val="00815765"/>
    <w:rsid w:val="00816358"/>
    <w:rsid w:val="00821B63"/>
    <w:rsid w:val="0082265F"/>
    <w:rsid w:val="00825587"/>
    <w:rsid w:val="00825F36"/>
    <w:rsid w:val="00826479"/>
    <w:rsid w:val="008276D9"/>
    <w:rsid w:val="00830428"/>
    <w:rsid w:val="0083062B"/>
    <w:rsid w:val="00830B5B"/>
    <w:rsid w:val="00831B86"/>
    <w:rsid w:val="0083341E"/>
    <w:rsid w:val="008343D1"/>
    <w:rsid w:val="00835440"/>
    <w:rsid w:val="008360C7"/>
    <w:rsid w:val="00837A30"/>
    <w:rsid w:val="0084098B"/>
    <w:rsid w:val="00840AC8"/>
    <w:rsid w:val="00840F32"/>
    <w:rsid w:val="00841DB1"/>
    <w:rsid w:val="00842426"/>
    <w:rsid w:val="00842657"/>
    <w:rsid w:val="00844004"/>
    <w:rsid w:val="0084415A"/>
    <w:rsid w:val="00845D2F"/>
    <w:rsid w:val="00846BF0"/>
    <w:rsid w:val="00850082"/>
    <w:rsid w:val="00850D19"/>
    <w:rsid w:val="00850E09"/>
    <w:rsid w:val="00854C96"/>
    <w:rsid w:val="0085650B"/>
    <w:rsid w:val="00860CB2"/>
    <w:rsid w:val="00864970"/>
    <w:rsid w:val="0086551B"/>
    <w:rsid w:val="00865D37"/>
    <w:rsid w:val="00866F53"/>
    <w:rsid w:val="00867956"/>
    <w:rsid w:val="00867CD7"/>
    <w:rsid w:val="008703CC"/>
    <w:rsid w:val="008706CE"/>
    <w:rsid w:val="00873D2C"/>
    <w:rsid w:val="00874FB6"/>
    <w:rsid w:val="00875EDF"/>
    <w:rsid w:val="00880224"/>
    <w:rsid w:val="008807CC"/>
    <w:rsid w:val="0088109D"/>
    <w:rsid w:val="00881203"/>
    <w:rsid w:val="00881E72"/>
    <w:rsid w:val="0088437C"/>
    <w:rsid w:val="00884ADB"/>
    <w:rsid w:val="008859C9"/>
    <w:rsid w:val="00886C34"/>
    <w:rsid w:val="0088798A"/>
    <w:rsid w:val="00893CCC"/>
    <w:rsid w:val="008A07CE"/>
    <w:rsid w:val="008A2475"/>
    <w:rsid w:val="008A254B"/>
    <w:rsid w:val="008A29AC"/>
    <w:rsid w:val="008A3631"/>
    <w:rsid w:val="008A4B11"/>
    <w:rsid w:val="008A4F46"/>
    <w:rsid w:val="008B079E"/>
    <w:rsid w:val="008B48E1"/>
    <w:rsid w:val="008B646F"/>
    <w:rsid w:val="008B69CA"/>
    <w:rsid w:val="008B77CB"/>
    <w:rsid w:val="008C3014"/>
    <w:rsid w:val="008C333B"/>
    <w:rsid w:val="008C5F7B"/>
    <w:rsid w:val="008C623F"/>
    <w:rsid w:val="008D28B1"/>
    <w:rsid w:val="008D3130"/>
    <w:rsid w:val="008E110A"/>
    <w:rsid w:val="008E713B"/>
    <w:rsid w:val="008E7B0F"/>
    <w:rsid w:val="008F0256"/>
    <w:rsid w:val="008F7540"/>
    <w:rsid w:val="00900678"/>
    <w:rsid w:val="00900D8B"/>
    <w:rsid w:val="00903950"/>
    <w:rsid w:val="00905154"/>
    <w:rsid w:val="00912627"/>
    <w:rsid w:val="00912A4A"/>
    <w:rsid w:val="0091304F"/>
    <w:rsid w:val="0091502E"/>
    <w:rsid w:val="00915527"/>
    <w:rsid w:val="00916E90"/>
    <w:rsid w:val="0091769B"/>
    <w:rsid w:val="00917766"/>
    <w:rsid w:val="0092459F"/>
    <w:rsid w:val="00926A01"/>
    <w:rsid w:val="0093009C"/>
    <w:rsid w:val="0093343D"/>
    <w:rsid w:val="00934ECE"/>
    <w:rsid w:val="00935A6C"/>
    <w:rsid w:val="00940846"/>
    <w:rsid w:val="009409AF"/>
    <w:rsid w:val="00943860"/>
    <w:rsid w:val="00954045"/>
    <w:rsid w:val="0095436D"/>
    <w:rsid w:val="00960439"/>
    <w:rsid w:val="00961255"/>
    <w:rsid w:val="0096453A"/>
    <w:rsid w:val="00970F3B"/>
    <w:rsid w:val="009721CE"/>
    <w:rsid w:val="00972B63"/>
    <w:rsid w:val="00972F66"/>
    <w:rsid w:val="0098016B"/>
    <w:rsid w:val="00981207"/>
    <w:rsid w:val="009819A9"/>
    <w:rsid w:val="009840A4"/>
    <w:rsid w:val="00984427"/>
    <w:rsid w:val="00985156"/>
    <w:rsid w:val="009910C1"/>
    <w:rsid w:val="00993BA7"/>
    <w:rsid w:val="00993C97"/>
    <w:rsid w:val="00996E3D"/>
    <w:rsid w:val="009A2C4E"/>
    <w:rsid w:val="009B01EF"/>
    <w:rsid w:val="009B02CC"/>
    <w:rsid w:val="009B2B4E"/>
    <w:rsid w:val="009B4373"/>
    <w:rsid w:val="009B4B5C"/>
    <w:rsid w:val="009B65BF"/>
    <w:rsid w:val="009C2E1F"/>
    <w:rsid w:val="009C5B62"/>
    <w:rsid w:val="009C719A"/>
    <w:rsid w:val="009D124D"/>
    <w:rsid w:val="009D185C"/>
    <w:rsid w:val="009D1CE9"/>
    <w:rsid w:val="009D3A3D"/>
    <w:rsid w:val="009D44FF"/>
    <w:rsid w:val="009D6189"/>
    <w:rsid w:val="009E0901"/>
    <w:rsid w:val="009E09DB"/>
    <w:rsid w:val="009E10F2"/>
    <w:rsid w:val="009E206E"/>
    <w:rsid w:val="009E2B80"/>
    <w:rsid w:val="009E61F2"/>
    <w:rsid w:val="009E6A25"/>
    <w:rsid w:val="009F36C1"/>
    <w:rsid w:val="009F4844"/>
    <w:rsid w:val="009F67C3"/>
    <w:rsid w:val="009F7BE2"/>
    <w:rsid w:val="00A0417F"/>
    <w:rsid w:val="00A05954"/>
    <w:rsid w:val="00A0687C"/>
    <w:rsid w:val="00A0721C"/>
    <w:rsid w:val="00A07C49"/>
    <w:rsid w:val="00A14BC0"/>
    <w:rsid w:val="00A174AC"/>
    <w:rsid w:val="00A17D8B"/>
    <w:rsid w:val="00A216EA"/>
    <w:rsid w:val="00A22650"/>
    <w:rsid w:val="00A26097"/>
    <w:rsid w:val="00A270C1"/>
    <w:rsid w:val="00A3083F"/>
    <w:rsid w:val="00A31914"/>
    <w:rsid w:val="00A32A35"/>
    <w:rsid w:val="00A34750"/>
    <w:rsid w:val="00A3476D"/>
    <w:rsid w:val="00A34A1B"/>
    <w:rsid w:val="00A3538D"/>
    <w:rsid w:val="00A42918"/>
    <w:rsid w:val="00A524DA"/>
    <w:rsid w:val="00A5344F"/>
    <w:rsid w:val="00A60848"/>
    <w:rsid w:val="00A612AD"/>
    <w:rsid w:val="00A6251A"/>
    <w:rsid w:val="00A6619A"/>
    <w:rsid w:val="00A70C61"/>
    <w:rsid w:val="00A70FE7"/>
    <w:rsid w:val="00A72071"/>
    <w:rsid w:val="00A73956"/>
    <w:rsid w:val="00A74348"/>
    <w:rsid w:val="00A74701"/>
    <w:rsid w:val="00A75FCC"/>
    <w:rsid w:val="00A7759C"/>
    <w:rsid w:val="00A82700"/>
    <w:rsid w:val="00A82CD4"/>
    <w:rsid w:val="00A8534C"/>
    <w:rsid w:val="00A85857"/>
    <w:rsid w:val="00A85E30"/>
    <w:rsid w:val="00A87016"/>
    <w:rsid w:val="00A8714B"/>
    <w:rsid w:val="00A91983"/>
    <w:rsid w:val="00A93E69"/>
    <w:rsid w:val="00A9682B"/>
    <w:rsid w:val="00AA6F5D"/>
    <w:rsid w:val="00AA6FFE"/>
    <w:rsid w:val="00AB122C"/>
    <w:rsid w:val="00AB22B5"/>
    <w:rsid w:val="00AB3485"/>
    <w:rsid w:val="00AB37A8"/>
    <w:rsid w:val="00AB3E85"/>
    <w:rsid w:val="00AB57E1"/>
    <w:rsid w:val="00AB595C"/>
    <w:rsid w:val="00AB716C"/>
    <w:rsid w:val="00AC2897"/>
    <w:rsid w:val="00AC45AA"/>
    <w:rsid w:val="00AC492A"/>
    <w:rsid w:val="00AC4DA2"/>
    <w:rsid w:val="00AC5E3E"/>
    <w:rsid w:val="00AD06BB"/>
    <w:rsid w:val="00AD144A"/>
    <w:rsid w:val="00AD4E4F"/>
    <w:rsid w:val="00AD5723"/>
    <w:rsid w:val="00AD5B32"/>
    <w:rsid w:val="00AE0BA8"/>
    <w:rsid w:val="00AE0D27"/>
    <w:rsid w:val="00AE4D39"/>
    <w:rsid w:val="00AE522F"/>
    <w:rsid w:val="00AF0782"/>
    <w:rsid w:val="00AF0E61"/>
    <w:rsid w:val="00AF33E5"/>
    <w:rsid w:val="00AF4830"/>
    <w:rsid w:val="00AF6744"/>
    <w:rsid w:val="00AF6B83"/>
    <w:rsid w:val="00B0097E"/>
    <w:rsid w:val="00B029EA"/>
    <w:rsid w:val="00B03B94"/>
    <w:rsid w:val="00B115E2"/>
    <w:rsid w:val="00B1195C"/>
    <w:rsid w:val="00B14073"/>
    <w:rsid w:val="00B20E3D"/>
    <w:rsid w:val="00B24105"/>
    <w:rsid w:val="00B25DE4"/>
    <w:rsid w:val="00B274AE"/>
    <w:rsid w:val="00B311CF"/>
    <w:rsid w:val="00B40A66"/>
    <w:rsid w:val="00B41427"/>
    <w:rsid w:val="00B4309B"/>
    <w:rsid w:val="00B444E4"/>
    <w:rsid w:val="00B46362"/>
    <w:rsid w:val="00B5075A"/>
    <w:rsid w:val="00B51CF6"/>
    <w:rsid w:val="00B5351C"/>
    <w:rsid w:val="00B55D17"/>
    <w:rsid w:val="00B5700B"/>
    <w:rsid w:val="00B6070A"/>
    <w:rsid w:val="00B60F90"/>
    <w:rsid w:val="00B64666"/>
    <w:rsid w:val="00B65761"/>
    <w:rsid w:val="00B673F2"/>
    <w:rsid w:val="00B73408"/>
    <w:rsid w:val="00B758F2"/>
    <w:rsid w:val="00B75FC8"/>
    <w:rsid w:val="00B77794"/>
    <w:rsid w:val="00B81776"/>
    <w:rsid w:val="00B81D2D"/>
    <w:rsid w:val="00B82DB4"/>
    <w:rsid w:val="00B93B3A"/>
    <w:rsid w:val="00B95953"/>
    <w:rsid w:val="00B95E17"/>
    <w:rsid w:val="00BA1FF1"/>
    <w:rsid w:val="00BA2066"/>
    <w:rsid w:val="00BA3CB5"/>
    <w:rsid w:val="00BA4248"/>
    <w:rsid w:val="00BA52A1"/>
    <w:rsid w:val="00BB0BA3"/>
    <w:rsid w:val="00BB1364"/>
    <w:rsid w:val="00BB2DA2"/>
    <w:rsid w:val="00BB34AB"/>
    <w:rsid w:val="00BB4005"/>
    <w:rsid w:val="00BB4222"/>
    <w:rsid w:val="00BC25B3"/>
    <w:rsid w:val="00BC6961"/>
    <w:rsid w:val="00BD005C"/>
    <w:rsid w:val="00BD51C5"/>
    <w:rsid w:val="00BD52BA"/>
    <w:rsid w:val="00BE20BA"/>
    <w:rsid w:val="00BE32A2"/>
    <w:rsid w:val="00BE74EA"/>
    <w:rsid w:val="00BE78B2"/>
    <w:rsid w:val="00BE7ABF"/>
    <w:rsid w:val="00BF2215"/>
    <w:rsid w:val="00BF26D7"/>
    <w:rsid w:val="00BF471E"/>
    <w:rsid w:val="00C004B0"/>
    <w:rsid w:val="00C01D67"/>
    <w:rsid w:val="00C0622D"/>
    <w:rsid w:val="00C075C2"/>
    <w:rsid w:val="00C103C1"/>
    <w:rsid w:val="00C11B8A"/>
    <w:rsid w:val="00C11CD6"/>
    <w:rsid w:val="00C13A06"/>
    <w:rsid w:val="00C1441B"/>
    <w:rsid w:val="00C1701B"/>
    <w:rsid w:val="00C2671A"/>
    <w:rsid w:val="00C313BC"/>
    <w:rsid w:val="00C3480B"/>
    <w:rsid w:val="00C35BB2"/>
    <w:rsid w:val="00C44AFE"/>
    <w:rsid w:val="00C515DA"/>
    <w:rsid w:val="00C51AF9"/>
    <w:rsid w:val="00C541C9"/>
    <w:rsid w:val="00C54F2C"/>
    <w:rsid w:val="00C56700"/>
    <w:rsid w:val="00C62874"/>
    <w:rsid w:val="00C628DF"/>
    <w:rsid w:val="00C640B5"/>
    <w:rsid w:val="00C65BB0"/>
    <w:rsid w:val="00C66E1A"/>
    <w:rsid w:val="00C70C4C"/>
    <w:rsid w:val="00C710BB"/>
    <w:rsid w:val="00C728B8"/>
    <w:rsid w:val="00C85F08"/>
    <w:rsid w:val="00C92830"/>
    <w:rsid w:val="00C935F3"/>
    <w:rsid w:val="00C93D3B"/>
    <w:rsid w:val="00C9660C"/>
    <w:rsid w:val="00C97885"/>
    <w:rsid w:val="00C97C25"/>
    <w:rsid w:val="00CA019F"/>
    <w:rsid w:val="00CA57EF"/>
    <w:rsid w:val="00CA7B9C"/>
    <w:rsid w:val="00CB087F"/>
    <w:rsid w:val="00CB2E42"/>
    <w:rsid w:val="00CB4534"/>
    <w:rsid w:val="00CB5D7D"/>
    <w:rsid w:val="00CC0D08"/>
    <w:rsid w:val="00CC1B12"/>
    <w:rsid w:val="00CC47CF"/>
    <w:rsid w:val="00CC6512"/>
    <w:rsid w:val="00CD3467"/>
    <w:rsid w:val="00CD5B50"/>
    <w:rsid w:val="00CD630F"/>
    <w:rsid w:val="00CE0243"/>
    <w:rsid w:val="00CE29FF"/>
    <w:rsid w:val="00CE30A1"/>
    <w:rsid w:val="00CF34DE"/>
    <w:rsid w:val="00CF3BFC"/>
    <w:rsid w:val="00CF5040"/>
    <w:rsid w:val="00CF6448"/>
    <w:rsid w:val="00CF773F"/>
    <w:rsid w:val="00CF7901"/>
    <w:rsid w:val="00D00159"/>
    <w:rsid w:val="00D0598F"/>
    <w:rsid w:val="00D07914"/>
    <w:rsid w:val="00D119B8"/>
    <w:rsid w:val="00D11C9F"/>
    <w:rsid w:val="00D2117E"/>
    <w:rsid w:val="00D225D9"/>
    <w:rsid w:val="00D22D7A"/>
    <w:rsid w:val="00D24ED5"/>
    <w:rsid w:val="00D25D59"/>
    <w:rsid w:val="00D316FD"/>
    <w:rsid w:val="00D341FC"/>
    <w:rsid w:val="00D43692"/>
    <w:rsid w:val="00D50CC7"/>
    <w:rsid w:val="00D53D96"/>
    <w:rsid w:val="00D62A77"/>
    <w:rsid w:val="00D63CD3"/>
    <w:rsid w:val="00D6492A"/>
    <w:rsid w:val="00D6502F"/>
    <w:rsid w:val="00D66025"/>
    <w:rsid w:val="00D67BA2"/>
    <w:rsid w:val="00D71787"/>
    <w:rsid w:val="00D731F1"/>
    <w:rsid w:val="00D7671C"/>
    <w:rsid w:val="00D813A8"/>
    <w:rsid w:val="00D81FD2"/>
    <w:rsid w:val="00D82A74"/>
    <w:rsid w:val="00D84D7F"/>
    <w:rsid w:val="00D850C2"/>
    <w:rsid w:val="00D866DA"/>
    <w:rsid w:val="00D87014"/>
    <w:rsid w:val="00D87BFF"/>
    <w:rsid w:val="00D90599"/>
    <w:rsid w:val="00D9264E"/>
    <w:rsid w:val="00DA681D"/>
    <w:rsid w:val="00DB34A8"/>
    <w:rsid w:val="00DB366F"/>
    <w:rsid w:val="00DB3F40"/>
    <w:rsid w:val="00DB505C"/>
    <w:rsid w:val="00DB7226"/>
    <w:rsid w:val="00DC02CE"/>
    <w:rsid w:val="00DC27E3"/>
    <w:rsid w:val="00DD0759"/>
    <w:rsid w:val="00DD0AC5"/>
    <w:rsid w:val="00DD3A51"/>
    <w:rsid w:val="00DD3D63"/>
    <w:rsid w:val="00DD51A3"/>
    <w:rsid w:val="00DE11E0"/>
    <w:rsid w:val="00DE29C1"/>
    <w:rsid w:val="00DF2A9A"/>
    <w:rsid w:val="00DF3647"/>
    <w:rsid w:val="00DF36E0"/>
    <w:rsid w:val="00DF52C4"/>
    <w:rsid w:val="00DF66C9"/>
    <w:rsid w:val="00DF742B"/>
    <w:rsid w:val="00DF76BF"/>
    <w:rsid w:val="00E0013B"/>
    <w:rsid w:val="00E009DE"/>
    <w:rsid w:val="00E015E3"/>
    <w:rsid w:val="00E01FC3"/>
    <w:rsid w:val="00E035A2"/>
    <w:rsid w:val="00E0453A"/>
    <w:rsid w:val="00E04FD5"/>
    <w:rsid w:val="00E05F50"/>
    <w:rsid w:val="00E06433"/>
    <w:rsid w:val="00E06DFC"/>
    <w:rsid w:val="00E11C20"/>
    <w:rsid w:val="00E141B3"/>
    <w:rsid w:val="00E16EAF"/>
    <w:rsid w:val="00E20999"/>
    <w:rsid w:val="00E214FC"/>
    <w:rsid w:val="00E24ADE"/>
    <w:rsid w:val="00E25958"/>
    <w:rsid w:val="00E31B0B"/>
    <w:rsid w:val="00E31C93"/>
    <w:rsid w:val="00E336A6"/>
    <w:rsid w:val="00E36118"/>
    <w:rsid w:val="00E3769E"/>
    <w:rsid w:val="00E4060D"/>
    <w:rsid w:val="00E46C0B"/>
    <w:rsid w:val="00E530A8"/>
    <w:rsid w:val="00E530DC"/>
    <w:rsid w:val="00E53D5A"/>
    <w:rsid w:val="00E54D99"/>
    <w:rsid w:val="00E56199"/>
    <w:rsid w:val="00E61537"/>
    <w:rsid w:val="00E61AA2"/>
    <w:rsid w:val="00E62DEF"/>
    <w:rsid w:val="00E645E5"/>
    <w:rsid w:val="00E647A4"/>
    <w:rsid w:val="00E667F9"/>
    <w:rsid w:val="00E72494"/>
    <w:rsid w:val="00E728DE"/>
    <w:rsid w:val="00E741C8"/>
    <w:rsid w:val="00E74E00"/>
    <w:rsid w:val="00E77E01"/>
    <w:rsid w:val="00E8280D"/>
    <w:rsid w:val="00E83672"/>
    <w:rsid w:val="00E908E3"/>
    <w:rsid w:val="00E92D29"/>
    <w:rsid w:val="00E93597"/>
    <w:rsid w:val="00E95706"/>
    <w:rsid w:val="00E97BB2"/>
    <w:rsid w:val="00EA00E8"/>
    <w:rsid w:val="00EA1CC4"/>
    <w:rsid w:val="00EA26B6"/>
    <w:rsid w:val="00EA33F1"/>
    <w:rsid w:val="00EA4343"/>
    <w:rsid w:val="00EA4AB9"/>
    <w:rsid w:val="00EA5CC2"/>
    <w:rsid w:val="00EB7727"/>
    <w:rsid w:val="00EC0180"/>
    <w:rsid w:val="00EC1C38"/>
    <w:rsid w:val="00EC2C4F"/>
    <w:rsid w:val="00EC32BC"/>
    <w:rsid w:val="00EC518C"/>
    <w:rsid w:val="00EC5DB6"/>
    <w:rsid w:val="00ED0870"/>
    <w:rsid w:val="00ED6749"/>
    <w:rsid w:val="00ED74B1"/>
    <w:rsid w:val="00EE034B"/>
    <w:rsid w:val="00EE7B51"/>
    <w:rsid w:val="00EF002C"/>
    <w:rsid w:val="00EF6DF0"/>
    <w:rsid w:val="00EF79E5"/>
    <w:rsid w:val="00F00791"/>
    <w:rsid w:val="00F059B0"/>
    <w:rsid w:val="00F05E4E"/>
    <w:rsid w:val="00F05EA6"/>
    <w:rsid w:val="00F11667"/>
    <w:rsid w:val="00F14A51"/>
    <w:rsid w:val="00F15C0F"/>
    <w:rsid w:val="00F161F3"/>
    <w:rsid w:val="00F204C3"/>
    <w:rsid w:val="00F22322"/>
    <w:rsid w:val="00F2314E"/>
    <w:rsid w:val="00F237A7"/>
    <w:rsid w:val="00F237C2"/>
    <w:rsid w:val="00F2384D"/>
    <w:rsid w:val="00F26C32"/>
    <w:rsid w:val="00F277F1"/>
    <w:rsid w:val="00F31004"/>
    <w:rsid w:val="00F31031"/>
    <w:rsid w:val="00F33B57"/>
    <w:rsid w:val="00F3495C"/>
    <w:rsid w:val="00F41EE3"/>
    <w:rsid w:val="00F4731B"/>
    <w:rsid w:val="00F47F31"/>
    <w:rsid w:val="00F5079A"/>
    <w:rsid w:val="00F50FA8"/>
    <w:rsid w:val="00F53F2B"/>
    <w:rsid w:val="00F547D8"/>
    <w:rsid w:val="00F54827"/>
    <w:rsid w:val="00F56D0C"/>
    <w:rsid w:val="00F57553"/>
    <w:rsid w:val="00F57EAD"/>
    <w:rsid w:val="00F57F1F"/>
    <w:rsid w:val="00F6076E"/>
    <w:rsid w:val="00F64C14"/>
    <w:rsid w:val="00F66DED"/>
    <w:rsid w:val="00F6733C"/>
    <w:rsid w:val="00F67455"/>
    <w:rsid w:val="00F67BAF"/>
    <w:rsid w:val="00F67BB1"/>
    <w:rsid w:val="00F72FAB"/>
    <w:rsid w:val="00F734EE"/>
    <w:rsid w:val="00F7408A"/>
    <w:rsid w:val="00F74B47"/>
    <w:rsid w:val="00F7604C"/>
    <w:rsid w:val="00F87666"/>
    <w:rsid w:val="00F90ED3"/>
    <w:rsid w:val="00F94DB7"/>
    <w:rsid w:val="00F96F03"/>
    <w:rsid w:val="00F97AEF"/>
    <w:rsid w:val="00FA4383"/>
    <w:rsid w:val="00FA7F17"/>
    <w:rsid w:val="00FB040B"/>
    <w:rsid w:val="00FD1C87"/>
    <w:rsid w:val="00FD2457"/>
    <w:rsid w:val="00FD5C9F"/>
    <w:rsid w:val="00FE1D40"/>
    <w:rsid w:val="00FE203B"/>
    <w:rsid w:val="00FE7274"/>
    <w:rsid w:val="00FF1B50"/>
    <w:rsid w:val="00FF20AB"/>
    <w:rsid w:val="00FF37E7"/>
    <w:rsid w:val="00FF4B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C80EA"/>
  <w15:docId w15:val="{779743D8-FF4E-45F9-93F2-D8B3796D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98F"/>
    <w:pPr>
      <w:spacing w:after="0" w:line="240" w:lineRule="auto"/>
      <w:jc w:val="both"/>
    </w:pPr>
    <w:rPr>
      <w:rFonts w:ascii="Times New Roman" w:hAnsi="Times New Roman"/>
      <w:sz w:val="28"/>
      <w:szCs w:val="24"/>
      <w:lang w:val="ru-RU"/>
    </w:rPr>
  </w:style>
  <w:style w:type="paragraph" w:styleId="Heading1">
    <w:name w:val="heading 1"/>
    <w:basedOn w:val="Normal"/>
    <w:next w:val="Normal"/>
    <w:link w:val="Heading1Char"/>
    <w:autoRedefine/>
    <w:uiPriority w:val="9"/>
    <w:qFormat/>
    <w:rsid w:val="00A85E30"/>
    <w:pPr>
      <w:keepNext/>
      <w:tabs>
        <w:tab w:val="left" w:pos="142"/>
      </w:tabs>
      <w:spacing w:before="240" w:after="120"/>
      <w:outlineLvl w:val="0"/>
    </w:pPr>
    <w:rPr>
      <w:rFonts w:eastAsiaTheme="majorEastAsia" w:cs="Times New Roman"/>
      <w:b/>
      <w:bCs/>
      <w:szCs w:val="28"/>
      <w:lang w:val="nl-NL"/>
    </w:rPr>
  </w:style>
  <w:style w:type="paragraph" w:styleId="Heading2">
    <w:name w:val="heading 2"/>
    <w:basedOn w:val="Normal"/>
    <w:next w:val="Normal"/>
    <w:link w:val="Heading2Char"/>
    <w:autoRedefine/>
    <w:uiPriority w:val="9"/>
    <w:unhideWhenUsed/>
    <w:qFormat/>
    <w:rsid w:val="00A85E30"/>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E30"/>
    <w:rPr>
      <w:rFonts w:ascii="Times New Roman" w:eastAsiaTheme="majorEastAsia" w:hAnsi="Times New Roman" w:cs="Times New Roman"/>
      <w:b/>
      <w:bCs/>
      <w:sz w:val="28"/>
      <w:szCs w:val="28"/>
      <w:lang w:val="nl-NL"/>
    </w:rPr>
  </w:style>
  <w:style w:type="character" w:customStyle="1" w:styleId="Heading2Char">
    <w:name w:val="Heading 2 Char"/>
    <w:basedOn w:val="DefaultParagraphFont"/>
    <w:link w:val="Heading2"/>
    <w:uiPriority w:val="9"/>
    <w:rsid w:val="00A85E30"/>
    <w:rPr>
      <w:rFonts w:ascii="Times New Roman" w:eastAsiaTheme="majorEastAsia" w:hAnsi="Times New Roman" w:cstheme="majorBidi"/>
      <w:b/>
      <w:sz w:val="28"/>
      <w:szCs w:val="26"/>
    </w:rPr>
  </w:style>
  <w:style w:type="table" w:styleId="TableGrid">
    <w:name w:val="Table Grid"/>
    <w:basedOn w:val="TableNormal"/>
    <w:uiPriority w:val="59"/>
    <w:rsid w:val="00105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F6B83"/>
    <w:rPr>
      <w:rFonts w:ascii="TimesNewRoman" w:hAnsi="TimesNewRoman" w:hint="default"/>
      <w:b w:val="0"/>
      <w:bCs w:val="0"/>
      <w:i w:val="0"/>
      <w:iCs w:val="0"/>
      <w:color w:val="000000"/>
      <w:sz w:val="26"/>
      <w:szCs w:val="26"/>
    </w:rPr>
  </w:style>
  <w:style w:type="character" w:customStyle="1" w:styleId="fontstyle21">
    <w:name w:val="fontstyle21"/>
    <w:basedOn w:val="DefaultParagraphFont"/>
    <w:rsid w:val="00940846"/>
    <w:rPr>
      <w:rFonts w:ascii="CourierNew" w:hAnsi="CourierNew" w:hint="default"/>
      <w:b w:val="0"/>
      <w:bCs w:val="0"/>
      <w:i w:val="0"/>
      <w:iCs w:val="0"/>
      <w:color w:val="000000"/>
      <w:sz w:val="28"/>
      <w:szCs w:val="28"/>
    </w:rPr>
  </w:style>
  <w:style w:type="paragraph" w:styleId="ListParagraph">
    <w:name w:val="List Paragraph"/>
    <w:aliases w:val="bullet"/>
    <w:basedOn w:val="Normal"/>
    <w:link w:val="ListParagraphChar"/>
    <w:uiPriority w:val="34"/>
    <w:qFormat/>
    <w:rsid w:val="00CE29FF"/>
    <w:pPr>
      <w:ind w:left="720"/>
      <w:contextualSpacing/>
      <w:jc w:val="left"/>
    </w:pPr>
    <w:rPr>
      <w:rFonts w:asciiTheme="minorHAnsi" w:hAnsiTheme="minorHAnsi"/>
      <w:sz w:val="24"/>
      <w:lang w:val="en-US"/>
    </w:rPr>
  </w:style>
  <w:style w:type="paragraph" w:styleId="BalloonText">
    <w:name w:val="Balloon Text"/>
    <w:basedOn w:val="Normal"/>
    <w:link w:val="BalloonTextChar"/>
    <w:uiPriority w:val="99"/>
    <w:semiHidden/>
    <w:unhideWhenUsed/>
    <w:rsid w:val="00B82DB4"/>
    <w:rPr>
      <w:rFonts w:ascii="Tahoma" w:hAnsi="Tahoma" w:cs="Tahoma"/>
      <w:sz w:val="16"/>
      <w:szCs w:val="16"/>
    </w:rPr>
  </w:style>
  <w:style w:type="character" w:customStyle="1" w:styleId="BalloonTextChar">
    <w:name w:val="Balloon Text Char"/>
    <w:basedOn w:val="DefaultParagraphFont"/>
    <w:link w:val="BalloonText"/>
    <w:uiPriority w:val="99"/>
    <w:semiHidden/>
    <w:rsid w:val="00B82DB4"/>
    <w:rPr>
      <w:rFonts w:ascii="Tahoma" w:hAnsi="Tahoma" w:cs="Tahoma"/>
      <w:sz w:val="16"/>
      <w:szCs w:val="16"/>
      <w:lang w:val="ru-RU"/>
    </w:rPr>
  </w:style>
  <w:style w:type="paragraph" w:styleId="NormalWeb">
    <w:name w:val="Normal (Web)"/>
    <w:basedOn w:val="Normal"/>
    <w:uiPriority w:val="99"/>
    <w:unhideWhenUsed/>
    <w:rsid w:val="00B82DB4"/>
    <w:pPr>
      <w:spacing w:before="100" w:beforeAutospacing="1" w:after="100" w:afterAutospacing="1"/>
      <w:jc w:val="left"/>
    </w:pPr>
    <w:rPr>
      <w:rFonts w:eastAsia="Times New Roman" w:cs="Times New Roman"/>
      <w:sz w:val="24"/>
      <w:lang w:val="en-US"/>
    </w:rPr>
  </w:style>
  <w:style w:type="paragraph" w:styleId="FootnoteText">
    <w:name w:val="footnote text"/>
    <w:basedOn w:val="Normal"/>
    <w:link w:val="FootnoteTextChar"/>
    <w:uiPriority w:val="99"/>
    <w:unhideWhenUsed/>
    <w:rsid w:val="00A3538D"/>
    <w:pPr>
      <w:spacing w:after="200" w:line="276" w:lineRule="auto"/>
      <w:jc w:val="left"/>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A3538D"/>
    <w:rPr>
      <w:rFonts w:ascii="Calibri" w:eastAsia="Calibri" w:hAnsi="Calibri" w:cs="Times New Roman"/>
      <w:sz w:val="20"/>
      <w:szCs w:val="20"/>
    </w:rPr>
  </w:style>
  <w:style w:type="character" w:styleId="FootnoteReference">
    <w:name w:val="footnote reference"/>
    <w:uiPriority w:val="99"/>
    <w:semiHidden/>
    <w:unhideWhenUsed/>
    <w:rsid w:val="00A3538D"/>
    <w:rPr>
      <w:vertAlign w:val="superscript"/>
    </w:rPr>
  </w:style>
  <w:style w:type="character" w:customStyle="1" w:styleId="ListParagraphChar">
    <w:name w:val="List Paragraph Char"/>
    <w:aliases w:val="bullet Char"/>
    <w:link w:val="ListParagraph"/>
    <w:uiPriority w:val="34"/>
    <w:rsid w:val="00F547D8"/>
    <w:rPr>
      <w:sz w:val="24"/>
      <w:szCs w:val="24"/>
    </w:rPr>
  </w:style>
  <w:style w:type="character" w:styleId="Emphasis">
    <w:name w:val="Emphasis"/>
    <w:basedOn w:val="DefaultParagraphFont"/>
    <w:uiPriority w:val="20"/>
    <w:qFormat/>
    <w:rsid w:val="00F47F31"/>
    <w:rPr>
      <w:i/>
      <w:iCs/>
    </w:rPr>
  </w:style>
  <w:style w:type="paragraph" w:styleId="PlainText">
    <w:name w:val="Plain Text"/>
    <w:basedOn w:val="Normal"/>
    <w:link w:val="PlainTextChar"/>
    <w:uiPriority w:val="99"/>
    <w:unhideWhenUsed/>
    <w:rsid w:val="00ED74B1"/>
    <w:pPr>
      <w:jc w:val="left"/>
    </w:pPr>
    <w:rPr>
      <w:rFonts w:ascii="Calibri" w:eastAsia="Calibri" w:hAnsi="Calibri" w:cs="Times New Roman"/>
      <w:color w:val="3C8481"/>
      <w:sz w:val="24"/>
      <w:szCs w:val="21"/>
      <w:lang w:val="en-US"/>
    </w:rPr>
  </w:style>
  <w:style w:type="character" w:customStyle="1" w:styleId="PlainTextChar">
    <w:name w:val="Plain Text Char"/>
    <w:basedOn w:val="DefaultParagraphFont"/>
    <w:link w:val="PlainText"/>
    <w:uiPriority w:val="99"/>
    <w:rsid w:val="00ED74B1"/>
    <w:rPr>
      <w:rFonts w:ascii="Calibri" w:eastAsia="Calibri" w:hAnsi="Calibri" w:cs="Times New Roman"/>
      <w:color w:val="3C8481"/>
      <w:sz w:val="24"/>
      <w:szCs w:val="21"/>
    </w:rPr>
  </w:style>
  <w:style w:type="paragraph" w:styleId="Header">
    <w:name w:val="header"/>
    <w:basedOn w:val="Normal"/>
    <w:link w:val="HeaderChar"/>
    <w:uiPriority w:val="99"/>
    <w:unhideWhenUsed/>
    <w:rsid w:val="00F41EE3"/>
    <w:pPr>
      <w:tabs>
        <w:tab w:val="center" w:pos="4680"/>
        <w:tab w:val="right" w:pos="9360"/>
      </w:tabs>
    </w:pPr>
  </w:style>
  <w:style w:type="character" w:customStyle="1" w:styleId="HeaderChar">
    <w:name w:val="Header Char"/>
    <w:basedOn w:val="DefaultParagraphFont"/>
    <w:link w:val="Header"/>
    <w:uiPriority w:val="99"/>
    <w:rsid w:val="00F41EE3"/>
    <w:rPr>
      <w:rFonts w:ascii="Times New Roman" w:hAnsi="Times New Roman"/>
      <w:sz w:val="28"/>
      <w:szCs w:val="24"/>
      <w:lang w:val="ru-RU"/>
    </w:rPr>
  </w:style>
  <w:style w:type="paragraph" w:styleId="Footer">
    <w:name w:val="footer"/>
    <w:basedOn w:val="Normal"/>
    <w:link w:val="FooterChar"/>
    <w:uiPriority w:val="99"/>
    <w:unhideWhenUsed/>
    <w:rsid w:val="00F41EE3"/>
    <w:pPr>
      <w:tabs>
        <w:tab w:val="center" w:pos="4680"/>
        <w:tab w:val="right" w:pos="9360"/>
      </w:tabs>
    </w:pPr>
  </w:style>
  <w:style w:type="character" w:customStyle="1" w:styleId="FooterChar">
    <w:name w:val="Footer Char"/>
    <w:basedOn w:val="DefaultParagraphFont"/>
    <w:link w:val="Footer"/>
    <w:uiPriority w:val="99"/>
    <w:rsid w:val="00F41EE3"/>
    <w:rPr>
      <w:rFonts w:ascii="Times New Roman" w:hAnsi="Times New Roman"/>
      <w:sz w:val="28"/>
      <w:szCs w:val="24"/>
      <w:lang w:val="ru-RU"/>
    </w:rPr>
  </w:style>
  <w:style w:type="character" w:styleId="CommentReference">
    <w:name w:val="annotation reference"/>
    <w:basedOn w:val="DefaultParagraphFont"/>
    <w:unhideWhenUsed/>
    <w:rsid w:val="00BF26D7"/>
    <w:rPr>
      <w:sz w:val="16"/>
      <w:szCs w:val="16"/>
    </w:rPr>
  </w:style>
  <w:style w:type="paragraph" w:styleId="CommentText">
    <w:name w:val="annotation text"/>
    <w:basedOn w:val="Normal"/>
    <w:link w:val="CommentTextChar"/>
    <w:unhideWhenUsed/>
    <w:rsid w:val="00BF26D7"/>
    <w:rPr>
      <w:sz w:val="20"/>
      <w:szCs w:val="20"/>
    </w:rPr>
  </w:style>
  <w:style w:type="character" w:customStyle="1" w:styleId="CommentTextChar">
    <w:name w:val="Comment Text Char"/>
    <w:basedOn w:val="DefaultParagraphFont"/>
    <w:link w:val="CommentText"/>
    <w:rsid w:val="00BF26D7"/>
    <w:rPr>
      <w:rFonts w:ascii="Times New Roman" w:hAnsi="Times New Roman"/>
      <w:sz w:val="20"/>
      <w:szCs w:val="20"/>
      <w:lang w:val="ru-RU"/>
    </w:rPr>
  </w:style>
  <w:style w:type="paragraph" w:styleId="CommentSubject">
    <w:name w:val="annotation subject"/>
    <w:basedOn w:val="CommentText"/>
    <w:next w:val="CommentText"/>
    <w:link w:val="CommentSubjectChar"/>
    <w:uiPriority w:val="99"/>
    <w:semiHidden/>
    <w:unhideWhenUsed/>
    <w:rsid w:val="00AC2897"/>
    <w:rPr>
      <w:b/>
      <w:bCs/>
    </w:rPr>
  </w:style>
  <w:style w:type="character" w:customStyle="1" w:styleId="CommentSubjectChar">
    <w:name w:val="Comment Subject Char"/>
    <w:basedOn w:val="CommentTextChar"/>
    <w:link w:val="CommentSubject"/>
    <w:uiPriority w:val="99"/>
    <w:semiHidden/>
    <w:rsid w:val="00AC2897"/>
    <w:rPr>
      <w:rFonts w:ascii="Times New Roman" w:hAnsi="Times New Roman"/>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1733">
      <w:bodyDiv w:val="1"/>
      <w:marLeft w:val="0"/>
      <w:marRight w:val="0"/>
      <w:marTop w:val="0"/>
      <w:marBottom w:val="0"/>
      <w:divBdr>
        <w:top w:val="none" w:sz="0" w:space="0" w:color="auto"/>
        <w:left w:val="none" w:sz="0" w:space="0" w:color="auto"/>
        <w:bottom w:val="none" w:sz="0" w:space="0" w:color="auto"/>
        <w:right w:val="none" w:sz="0" w:space="0" w:color="auto"/>
      </w:divBdr>
    </w:div>
    <w:div w:id="23025563">
      <w:bodyDiv w:val="1"/>
      <w:marLeft w:val="0"/>
      <w:marRight w:val="0"/>
      <w:marTop w:val="0"/>
      <w:marBottom w:val="0"/>
      <w:divBdr>
        <w:top w:val="none" w:sz="0" w:space="0" w:color="auto"/>
        <w:left w:val="none" w:sz="0" w:space="0" w:color="auto"/>
        <w:bottom w:val="none" w:sz="0" w:space="0" w:color="auto"/>
        <w:right w:val="none" w:sz="0" w:space="0" w:color="auto"/>
      </w:divBdr>
      <w:divsChild>
        <w:div w:id="1296569874">
          <w:marLeft w:val="357"/>
          <w:marRight w:val="0"/>
          <w:marTop w:val="0"/>
          <w:marBottom w:val="0"/>
          <w:divBdr>
            <w:top w:val="none" w:sz="0" w:space="0" w:color="auto"/>
            <w:left w:val="none" w:sz="0" w:space="0" w:color="auto"/>
            <w:bottom w:val="none" w:sz="0" w:space="0" w:color="auto"/>
            <w:right w:val="none" w:sz="0" w:space="0" w:color="auto"/>
          </w:divBdr>
        </w:div>
        <w:div w:id="996882823">
          <w:marLeft w:val="357"/>
          <w:marRight w:val="0"/>
          <w:marTop w:val="0"/>
          <w:marBottom w:val="0"/>
          <w:divBdr>
            <w:top w:val="none" w:sz="0" w:space="0" w:color="auto"/>
            <w:left w:val="none" w:sz="0" w:space="0" w:color="auto"/>
            <w:bottom w:val="none" w:sz="0" w:space="0" w:color="auto"/>
            <w:right w:val="none" w:sz="0" w:space="0" w:color="auto"/>
          </w:divBdr>
        </w:div>
      </w:divsChild>
    </w:div>
    <w:div w:id="36242758">
      <w:bodyDiv w:val="1"/>
      <w:marLeft w:val="0"/>
      <w:marRight w:val="0"/>
      <w:marTop w:val="0"/>
      <w:marBottom w:val="0"/>
      <w:divBdr>
        <w:top w:val="none" w:sz="0" w:space="0" w:color="auto"/>
        <w:left w:val="none" w:sz="0" w:space="0" w:color="auto"/>
        <w:bottom w:val="none" w:sz="0" w:space="0" w:color="auto"/>
        <w:right w:val="none" w:sz="0" w:space="0" w:color="auto"/>
      </w:divBdr>
    </w:div>
    <w:div w:id="157968095">
      <w:bodyDiv w:val="1"/>
      <w:marLeft w:val="0"/>
      <w:marRight w:val="0"/>
      <w:marTop w:val="0"/>
      <w:marBottom w:val="0"/>
      <w:divBdr>
        <w:top w:val="none" w:sz="0" w:space="0" w:color="auto"/>
        <w:left w:val="none" w:sz="0" w:space="0" w:color="auto"/>
        <w:bottom w:val="none" w:sz="0" w:space="0" w:color="auto"/>
        <w:right w:val="none" w:sz="0" w:space="0" w:color="auto"/>
      </w:divBdr>
    </w:div>
    <w:div w:id="1588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125187">
          <w:marLeft w:val="0"/>
          <w:marRight w:val="0"/>
          <w:marTop w:val="0"/>
          <w:marBottom w:val="0"/>
          <w:divBdr>
            <w:top w:val="none" w:sz="0" w:space="0" w:color="auto"/>
            <w:left w:val="none" w:sz="0" w:space="0" w:color="auto"/>
            <w:bottom w:val="none" w:sz="0" w:space="0" w:color="auto"/>
            <w:right w:val="none" w:sz="0" w:space="0" w:color="auto"/>
          </w:divBdr>
        </w:div>
        <w:div w:id="826243271">
          <w:marLeft w:val="0"/>
          <w:marRight w:val="0"/>
          <w:marTop w:val="0"/>
          <w:marBottom w:val="0"/>
          <w:divBdr>
            <w:top w:val="none" w:sz="0" w:space="0" w:color="auto"/>
            <w:left w:val="none" w:sz="0" w:space="0" w:color="auto"/>
            <w:bottom w:val="none" w:sz="0" w:space="0" w:color="auto"/>
            <w:right w:val="none" w:sz="0" w:space="0" w:color="auto"/>
          </w:divBdr>
        </w:div>
      </w:divsChild>
    </w:div>
    <w:div w:id="232587371">
      <w:bodyDiv w:val="1"/>
      <w:marLeft w:val="0"/>
      <w:marRight w:val="0"/>
      <w:marTop w:val="0"/>
      <w:marBottom w:val="0"/>
      <w:divBdr>
        <w:top w:val="none" w:sz="0" w:space="0" w:color="auto"/>
        <w:left w:val="none" w:sz="0" w:space="0" w:color="auto"/>
        <w:bottom w:val="none" w:sz="0" w:space="0" w:color="auto"/>
        <w:right w:val="none" w:sz="0" w:space="0" w:color="auto"/>
      </w:divBdr>
    </w:div>
    <w:div w:id="256252815">
      <w:bodyDiv w:val="1"/>
      <w:marLeft w:val="0"/>
      <w:marRight w:val="0"/>
      <w:marTop w:val="0"/>
      <w:marBottom w:val="0"/>
      <w:divBdr>
        <w:top w:val="none" w:sz="0" w:space="0" w:color="auto"/>
        <w:left w:val="none" w:sz="0" w:space="0" w:color="auto"/>
        <w:bottom w:val="none" w:sz="0" w:space="0" w:color="auto"/>
        <w:right w:val="none" w:sz="0" w:space="0" w:color="auto"/>
      </w:divBdr>
    </w:div>
    <w:div w:id="456489466">
      <w:bodyDiv w:val="1"/>
      <w:marLeft w:val="0"/>
      <w:marRight w:val="0"/>
      <w:marTop w:val="0"/>
      <w:marBottom w:val="0"/>
      <w:divBdr>
        <w:top w:val="none" w:sz="0" w:space="0" w:color="auto"/>
        <w:left w:val="none" w:sz="0" w:space="0" w:color="auto"/>
        <w:bottom w:val="none" w:sz="0" w:space="0" w:color="auto"/>
        <w:right w:val="none" w:sz="0" w:space="0" w:color="auto"/>
      </w:divBdr>
      <w:divsChild>
        <w:div w:id="1675765999">
          <w:marLeft w:val="0"/>
          <w:marRight w:val="0"/>
          <w:marTop w:val="0"/>
          <w:marBottom w:val="0"/>
          <w:divBdr>
            <w:top w:val="none" w:sz="0" w:space="0" w:color="auto"/>
            <w:left w:val="none" w:sz="0" w:space="0" w:color="auto"/>
            <w:bottom w:val="none" w:sz="0" w:space="0" w:color="auto"/>
            <w:right w:val="none" w:sz="0" w:space="0" w:color="auto"/>
          </w:divBdr>
        </w:div>
        <w:div w:id="1822690309">
          <w:marLeft w:val="0"/>
          <w:marRight w:val="0"/>
          <w:marTop w:val="0"/>
          <w:marBottom w:val="0"/>
          <w:divBdr>
            <w:top w:val="none" w:sz="0" w:space="0" w:color="auto"/>
            <w:left w:val="none" w:sz="0" w:space="0" w:color="auto"/>
            <w:bottom w:val="none" w:sz="0" w:space="0" w:color="auto"/>
            <w:right w:val="none" w:sz="0" w:space="0" w:color="auto"/>
          </w:divBdr>
        </w:div>
      </w:divsChild>
    </w:div>
    <w:div w:id="481892858">
      <w:bodyDiv w:val="1"/>
      <w:marLeft w:val="0"/>
      <w:marRight w:val="0"/>
      <w:marTop w:val="0"/>
      <w:marBottom w:val="0"/>
      <w:divBdr>
        <w:top w:val="none" w:sz="0" w:space="0" w:color="auto"/>
        <w:left w:val="none" w:sz="0" w:space="0" w:color="auto"/>
        <w:bottom w:val="none" w:sz="0" w:space="0" w:color="auto"/>
        <w:right w:val="none" w:sz="0" w:space="0" w:color="auto"/>
      </w:divBdr>
    </w:div>
    <w:div w:id="556815410">
      <w:bodyDiv w:val="1"/>
      <w:marLeft w:val="0"/>
      <w:marRight w:val="0"/>
      <w:marTop w:val="0"/>
      <w:marBottom w:val="0"/>
      <w:divBdr>
        <w:top w:val="none" w:sz="0" w:space="0" w:color="auto"/>
        <w:left w:val="none" w:sz="0" w:space="0" w:color="auto"/>
        <w:bottom w:val="none" w:sz="0" w:space="0" w:color="auto"/>
        <w:right w:val="none" w:sz="0" w:space="0" w:color="auto"/>
      </w:divBdr>
    </w:div>
    <w:div w:id="598684880">
      <w:bodyDiv w:val="1"/>
      <w:marLeft w:val="0"/>
      <w:marRight w:val="0"/>
      <w:marTop w:val="0"/>
      <w:marBottom w:val="0"/>
      <w:divBdr>
        <w:top w:val="none" w:sz="0" w:space="0" w:color="auto"/>
        <w:left w:val="none" w:sz="0" w:space="0" w:color="auto"/>
        <w:bottom w:val="none" w:sz="0" w:space="0" w:color="auto"/>
        <w:right w:val="none" w:sz="0" w:space="0" w:color="auto"/>
      </w:divBdr>
    </w:div>
    <w:div w:id="600797258">
      <w:bodyDiv w:val="1"/>
      <w:marLeft w:val="0"/>
      <w:marRight w:val="0"/>
      <w:marTop w:val="0"/>
      <w:marBottom w:val="0"/>
      <w:divBdr>
        <w:top w:val="none" w:sz="0" w:space="0" w:color="auto"/>
        <w:left w:val="none" w:sz="0" w:space="0" w:color="auto"/>
        <w:bottom w:val="none" w:sz="0" w:space="0" w:color="auto"/>
        <w:right w:val="none" w:sz="0" w:space="0" w:color="auto"/>
      </w:divBdr>
    </w:div>
    <w:div w:id="639843292">
      <w:bodyDiv w:val="1"/>
      <w:marLeft w:val="0"/>
      <w:marRight w:val="0"/>
      <w:marTop w:val="0"/>
      <w:marBottom w:val="0"/>
      <w:divBdr>
        <w:top w:val="none" w:sz="0" w:space="0" w:color="auto"/>
        <w:left w:val="none" w:sz="0" w:space="0" w:color="auto"/>
        <w:bottom w:val="none" w:sz="0" w:space="0" w:color="auto"/>
        <w:right w:val="none" w:sz="0" w:space="0" w:color="auto"/>
      </w:divBdr>
    </w:div>
    <w:div w:id="720980561">
      <w:bodyDiv w:val="1"/>
      <w:marLeft w:val="0"/>
      <w:marRight w:val="0"/>
      <w:marTop w:val="0"/>
      <w:marBottom w:val="0"/>
      <w:divBdr>
        <w:top w:val="none" w:sz="0" w:space="0" w:color="auto"/>
        <w:left w:val="none" w:sz="0" w:space="0" w:color="auto"/>
        <w:bottom w:val="none" w:sz="0" w:space="0" w:color="auto"/>
        <w:right w:val="none" w:sz="0" w:space="0" w:color="auto"/>
      </w:divBdr>
    </w:div>
    <w:div w:id="795027632">
      <w:bodyDiv w:val="1"/>
      <w:marLeft w:val="0"/>
      <w:marRight w:val="0"/>
      <w:marTop w:val="0"/>
      <w:marBottom w:val="0"/>
      <w:divBdr>
        <w:top w:val="none" w:sz="0" w:space="0" w:color="auto"/>
        <w:left w:val="none" w:sz="0" w:space="0" w:color="auto"/>
        <w:bottom w:val="none" w:sz="0" w:space="0" w:color="auto"/>
        <w:right w:val="none" w:sz="0" w:space="0" w:color="auto"/>
      </w:divBdr>
      <w:divsChild>
        <w:div w:id="1501693558">
          <w:marLeft w:val="357"/>
          <w:marRight w:val="0"/>
          <w:marTop w:val="0"/>
          <w:marBottom w:val="0"/>
          <w:divBdr>
            <w:top w:val="none" w:sz="0" w:space="0" w:color="auto"/>
            <w:left w:val="none" w:sz="0" w:space="0" w:color="auto"/>
            <w:bottom w:val="none" w:sz="0" w:space="0" w:color="auto"/>
            <w:right w:val="none" w:sz="0" w:space="0" w:color="auto"/>
          </w:divBdr>
        </w:div>
        <w:div w:id="1671370912">
          <w:marLeft w:val="357"/>
          <w:marRight w:val="0"/>
          <w:marTop w:val="0"/>
          <w:marBottom w:val="0"/>
          <w:divBdr>
            <w:top w:val="none" w:sz="0" w:space="0" w:color="auto"/>
            <w:left w:val="none" w:sz="0" w:space="0" w:color="auto"/>
            <w:bottom w:val="none" w:sz="0" w:space="0" w:color="auto"/>
            <w:right w:val="none" w:sz="0" w:space="0" w:color="auto"/>
          </w:divBdr>
        </w:div>
      </w:divsChild>
    </w:div>
    <w:div w:id="815800386">
      <w:bodyDiv w:val="1"/>
      <w:marLeft w:val="0"/>
      <w:marRight w:val="0"/>
      <w:marTop w:val="0"/>
      <w:marBottom w:val="0"/>
      <w:divBdr>
        <w:top w:val="none" w:sz="0" w:space="0" w:color="auto"/>
        <w:left w:val="none" w:sz="0" w:space="0" w:color="auto"/>
        <w:bottom w:val="none" w:sz="0" w:space="0" w:color="auto"/>
        <w:right w:val="none" w:sz="0" w:space="0" w:color="auto"/>
      </w:divBdr>
    </w:div>
    <w:div w:id="894315969">
      <w:bodyDiv w:val="1"/>
      <w:marLeft w:val="0"/>
      <w:marRight w:val="0"/>
      <w:marTop w:val="0"/>
      <w:marBottom w:val="0"/>
      <w:divBdr>
        <w:top w:val="none" w:sz="0" w:space="0" w:color="auto"/>
        <w:left w:val="none" w:sz="0" w:space="0" w:color="auto"/>
        <w:bottom w:val="none" w:sz="0" w:space="0" w:color="auto"/>
        <w:right w:val="none" w:sz="0" w:space="0" w:color="auto"/>
      </w:divBdr>
    </w:div>
    <w:div w:id="1041595056">
      <w:bodyDiv w:val="1"/>
      <w:marLeft w:val="0"/>
      <w:marRight w:val="0"/>
      <w:marTop w:val="0"/>
      <w:marBottom w:val="0"/>
      <w:divBdr>
        <w:top w:val="none" w:sz="0" w:space="0" w:color="auto"/>
        <w:left w:val="none" w:sz="0" w:space="0" w:color="auto"/>
        <w:bottom w:val="none" w:sz="0" w:space="0" w:color="auto"/>
        <w:right w:val="none" w:sz="0" w:space="0" w:color="auto"/>
      </w:divBdr>
    </w:div>
    <w:div w:id="1188374919">
      <w:bodyDiv w:val="1"/>
      <w:marLeft w:val="0"/>
      <w:marRight w:val="0"/>
      <w:marTop w:val="0"/>
      <w:marBottom w:val="0"/>
      <w:divBdr>
        <w:top w:val="none" w:sz="0" w:space="0" w:color="auto"/>
        <w:left w:val="none" w:sz="0" w:space="0" w:color="auto"/>
        <w:bottom w:val="none" w:sz="0" w:space="0" w:color="auto"/>
        <w:right w:val="none" w:sz="0" w:space="0" w:color="auto"/>
      </w:divBdr>
    </w:div>
    <w:div w:id="1232614303">
      <w:bodyDiv w:val="1"/>
      <w:marLeft w:val="0"/>
      <w:marRight w:val="0"/>
      <w:marTop w:val="0"/>
      <w:marBottom w:val="0"/>
      <w:divBdr>
        <w:top w:val="none" w:sz="0" w:space="0" w:color="auto"/>
        <w:left w:val="none" w:sz="0" w:space="0" w:color="auto"/>
        <w:bottom w:val="none" w:sz="0" w:space="0" w:color="auto"/>
        <w:right w:val="none" w:sz="0" w:space="0" w:color="auto"/>
      </w:divBdr>
    </w:div>
    <w:div w:id="1309244463">
      <w:bodyDiv w:val="1"/>
      <w:marLeft w:val="0"/>
      <w:marRight w:val="0"/>
      <w:marTop w:val="0"/>
      <w:marBottom w:val="0"/>
      <w:divBdr>
        <w:top w:val="none" w:sz="0" w:space="0" w:color="auto"/>
        <w:left w:val="none" w:sz="0" w:space="0" w:color="auto"/>
        <w:bottom w:val="none" w:sz="0" w:space="0" w:color="auto"/>
        <w:right w:val="none" w:sz="0" w:space="0" w:color="auto"/>
      </w:divBdr>
    </w:div>
    <w:div w:id="1812168150">
      <w:bodyDiv w:val="1"/>
      <w:marLeft w:val="0"/>
      <w:marRight w:val="0"/>
      <w:marTop w:val="0"/>
      <w:marBottom w:val="0"/>
      <w:divBdr>
        <w:top w:val="none" w:sz="0" w:space="0" w:color="auto"/>
        <w:left w:val="none" w:sz="0" w:space="0" w:color="auto"/>
        <w:bottom w:val="none" w:sz="0" w:space="0" w:color="auto"/>
        <w:right w:val="none" w:sz="0" w:space="0" w:color="auto"/>
      </w:divBdr>
      <w:divsChild>
        <w:div w:id="431559398">
          <w:marLeft w:val="0"/>
          <w:marRight w:val="0"/>
          <w:marTop w:val="0"/>
          <w:marBottom w:val="0"/>
          <w:divBdr>
            <w:top w:val="none" w:sz="0" w:space="0" w:color="auto"/>
            <w:left w:val="none" w:sz="0" w:space="0" w:color="auto"/>
            <w:bottom w:val="none" w:sz="0" w:space="0" w:color="auto"/>
            <w:right w:val="none" w:sz="0" w:space="0" w:color="auto"/>
          </w:divBdr>
        </w:div>
        <w:div w:id="354842121">
          <w:marLeft w:val="0"/>
          <w:marRight w:val="0"/>
          <w:marTop w:val="0"/>
          <w:marBottom w:val="0"/>
          <w:divBdr>
            <w:top w:val="none" w:sz="0" w:space="0" w:color="auto"/>
            <w:left w:val="none" w:sz="0" w:space="0" w:color="auto"/>
            <w:bottom w:val="none" w:sz="0" w:space="0" w:color="auto"/>
            <w:right w:val="none" w:sz="0" w:space="0" w:color="auto"/>
          </w:divBdr>
        </w:div>
      </w:divsChild>
    </w:div>
    <w:div w:id="1817382188">
      <w:bodyDiv w:val="1"/>
      <w:marLeft w:val="0"/>
      <w:marRight w:val="0"/>
      <w:marTop w:val="0"/>
      <w:marBottom w:val="0"/>
      <w:divBdr>
        <w:top w:val="none" w:sz="0" w:space="0" w:color="auto"/>
        <w:left w:val="none" w:sz="0" w:space="0" w:color="auto"/>
        <w:bottom w:val="none" w:sz="0" w:space="0" w:color="auto"/>
        <w:right w:val="none" w:sz="0" w:space="0" w:color="auto"/>
      </w:divBdr>
      <w:divsChild>
        <w:div w:id="48265820">
          <w:marLeft w:val="0"/>
          <w:marRight w:val="0"/>
          <w:marTop w:val="0"/>
          <w:marBottom w:val="0"/>
          <w:divBdr>
            <w:top w:val="none" w:sz="0" w:space="0" w:color="auto"/>
            <w:left w:val="none" w:sz="0" w:space="0" w:color="auto"/>
            <w:bottom w:val="none" w:sz="0" w:space="0" w:color="auto"/>
            <w:right w:val="none" w:sz="0" w:space="0" w:color="auto"/>
          </w:divBdr>
        </w:div>
        <w:div w:id="1285572776">
          <w:marLeft w:val="0"/>
          <w:marRight w:val="0"/>
          <w:marTop w:val="0"/>
          <w:marBottom w:val="0"/>
          <w:divBdr>
            <w:top w:val="none" w:sz="0" w:space="0" w:color="auto"/>
            <w:left w:val="none" w:sz="0" w:space="0" w:color="auto"/>
            <w:bottom w:val="none" w:sz="0" w:space="0" w:color="auto"/>
            <w:right w:val="none" w:sz="0" w:space="0" w:color="auto"/>
          </w:divBdr>
        </w:div>
      </w:divsChild>
    </w:div>
    <w:div w:id="1826703163">
      <w:bodyDiv w:val="1"/>
      <w:marLeft w:val="0"/>
      <w:marRight w:val="0"/>
      <w:marTop w:val="0"/>
      <w:marBottom w:val="0"/>
      <w:divBdr>
        <w:top w:val="none" w:sz="0" w:space="0" w:color="auto"/>
        <w:left w:val="none" w:sz="0" w:space="0" w:color="auto"/>
        <w:bottom w:val="none" w:sz="0" w:space="0" w:color="auto"/>
        <w:right w:val="none" w:sz="0" w:space="0" w:color="auto"/>
      </w:divBdr>
    </w:div>
    <w:div w:id="1856963088">
      <w:bodyDiv w:val="1"/>
      <w:marLeft w:val="0"/>
      <w:marRight w:val="0"/>
      <w:marTop w:val="0"/>
      <w:marBottom w:val="0"/>
      <w:divBdr>
        <w:top w:val="none" w:sz="0" w:space="0" w:color="auto"/>
        <w:left w:val="none" w:sz="0" w:space="0" w:color="auto"/>
        <w:bottom w:val="none" w:sz="0" w:space="0" w:color="auto"/>
        <w:right w:val="none" w:sz="0" w:space="0" w:color="auto"/>
      </w:divBdr>
    </w:div>
    <w:div w:id="1876036248">
      <w:bodyDiv w:val="1"/>
      <w:marLeft w:val="0"/>
      <w:marRight w:val="0"/>
      <w:marTop w:val="0"/>
      <w:marBottom w:val="0"/>
      <w:divBdr>
        <w:top w:val="none" w:sz="0" w:space="0" w:color="auto"/>
        <w:left w:val="none" w:sz="0" w:space="0" w:color="auto"/>
        <w:bottom w:val="none" w:sz="0" w:space="0" w:color="auto"/>
        <w:right w:val="none" w:sz="0" w:space="0" w:color="auto"/>
      </w:divBdr>
    </w:div>
    <w:div w:id="1879849540">
      <w:bodyDiv w:val="1"/>
      <w:marLeft w:val="0"/>
      <w:marRight w:val="0"/>
      <w:marTop w:val="0"/>
      <w:marBottom w:val="0"/>
      <w:divBdr>
        <w:top w:val="none" w:sz="0" w:space="0" w:color="auto"/>
        <w:left w:val="none" w:sz="0" w:space="0" w:color="auto"/>
        <w:bottom w:val="none" w:sz="0" w:space="0" w:color="auto"/>
        <w:right w:val="none" w:sz="0" w:space="0" w:color="auto"/>
      </w:divBdr>
    </w:div>
    <w:div w:id="203018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BA4137-187E-45BB-96E0-17C848CD335F}">
  <ds:schemaRefs>
    <ds:schemaRef ds:uri="http://schemas.openxmlformats.org/officeDocument/2006/bibliography"/>
  </ds:schemaRefs>
</ds:datastoreItem>
</file>

<file path=customXml/itemProps2.xml><?xml version="1.0" encoding="utf-8"?>
<ds:datastoreItem xmlns:ds="http://schemas.openxmlformats.org/officeDocument/2006/customXml" ds:itemID="{BC6B75E7-3209-4F78-A7B4-D77F60888783}"/>
</file>

<file path=customXml/itemProps3.xml><?xml version="1.0" encoding="utf-8"?>
<ds:datastoreItem xmlns:ds="http://schemas.openxmlformats.org/officeDocument/2006/customXml" ds:itemID="{CF19E49F-CE60-4360-8748-B3107273ADF6}"/>
</file>

<file path=customXml/itemProps4.xml><?xml version="1.0" encoding="utf-8"?>
<ds:datastoreItem xmlns:ds="http://schemas.openxmlformats.org/officeDocument/2006/customXml" ds:itemID="{97B0A894-480A-44DB-821A-E06EEA40E1A1}"/>
</file>

<file path=docProps/app.xml><?xml version="1.0" encoding="utf-8"?>
<Properties xmlns="http://schemas.openxmlformats.org/officeDocument/2006/extended-properties" xmlns:vt="http://schemas.openxmlformats.org/officeDocument/2006/docPropsVTypes">
  <Template>Normal.dotm</Template>
  <TotalTime>61</TotalTime>
  <Pages>12</Pages>
  <Words>3423</Words>
  <Characters>19516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Tuanta</dc:creator>
  <cp:lastModifiedBy>Thang Nguyen</cp:lastModifiedBy>
  <cp:revision>8</cp:revision>
  <cp:lastPrinted>2020-10-09T04:08:00Z</cp:lastPrinted>
  <dcterms:created xsi:type="dcterms:W3CDTF">2020-10-08T13:06:00Z</dcterms:created>
  <dcterms:modified xsi:type="dcterms:W3CDTF">2020-10-09T09:25:00Z</dcterms:modified>
</cp:coreProperties>
</file>